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6AB3" w14:textId="18095459" w:rsidR="006C5D69" w:rsidRDefault="00D91483" w:rsidP="006C5D69">
      <w:pPr>
        <w:pStyle w:val="TituloPO"/>
      </w:pPr>
      <w:r>
        <w:t>TÍTULO DO ARTIGO – MAIÚSCULAS, TIMES NEW ROMAN, NEGRITO, 16 PONTOS, ALINHADO À ESQUERDA, NÃO EXCEDENDO TRÊS LINHAS</w:t>
      </w:r>
    </w:p>
    <w:p w14:paraId="5020554E" w14:textId="77777777" w:rsidR="006C5D69" w:rsidRPr="004F3456" w:rsidRDefault="00D25D70" w:rsidP="00141BE8">
      <w:pPr>
        <w:pStyle w:val="TituloUK"/>
        <w:spacing w:line="320" w:lineRule="exact"/>
        <w:jc w:val="left"/>
      </w:pPr>
      <w:r w:rsidRPr="00D25D70">
        <w:t xml:space="preserve">Título </w:t>
      </w:r>
      <w:r w:rsidR="0016704F">
        <w:t xml:space="preserve">do artigo </w:t>
      </w:r>
      <w:r w:rsidRPr="00D25D70">
        <w:t>em inglês</w:t>
      </w:r>
      <w:r w:rsidR="0016704F">
        <w:t xml:space="preserve"> alinhado à esquerda, </w:t>
      </w:r>
      <w:r>
        <w:t>minúscula</w:t>
      </w:r>
      <w:r w:rsidR="0016704F">
        <w:t>s,</w:t>
      </w:r>
      <w:r>
        <w:t xml:space="preserve"> fonte Times New </w:t>
      </w:r>
      <w:proofErr w:type="spellStart"/>
      <w:r>
        <w:t>Roman</w:t>
      </w:r>
      <w:proofErr w:type="spellEnd"/>
      <w:r>
        <w:t xml:space="preserve">, </w:t>
      </w:r>
      <w:r w:rsidR="007062BF">
        <w:t xml:space="preserve">normal, </w:t>
      </w:r>
      <w:r>
        <w:t>14 pontos</w:t>
      </w:r>
    </w:p>
    <w:p w14:paraId="4147CEDE" w14:textId="436C4453" w:rsidR="006612A3" w:rsidRDefault="00DB2C6A" w:rsidP="006C5D69">
      <w:pPr>
        <w:pStyle w:val="Autores"/>
      </w:pPr>
      <w:r>
        <w:t xml:space="preserve">Nome(s) Próprio(s) </w:t>
      </w:r>
      <w:r w:rsidR="0094685B">
        <w:t xml:space="preserve">e </w:t>
      </w:r>
      <w:r>
        <w:t>Apelido(s)</w:t>
      </w:r>
      <w:r w:rsidR="00351EA8" w:rsidRPr="00351EA8">
        <w:rPr>
          <w:vertAlign w:val="superscript"/>
        </w:rPr>
        <w:t>a</w:t>
      </w:r>
      <w:r w:rsidR="006612A3">
        <w:t xml:space="preserve">, António João Ferreira da </w:t>
      </w:r>
      <w:proofErr w:type="spellStart"/>
      <w:r w:rsidR="006612A3">
        <w:t>Silva</w:t>
      </w:r>
      <w:r w:rsidR="00351EA8">
        <w:rPr>
          <w:vertAlign w:val="superscript"/>
        </w:rPr>
        <w:t>a</w:t>
      </w:r>
      <w:proofErr w:type="spellEnd"/>
      <w:r w:rsidR="006612A3">
        <w:t xml:space="preserve">, </w:t>
      </w:r>
      <w:r w:rsidR="006612A3" w:rsidRPr="005D252F">
        <w:t xml:space="preserve">Times New </w:t>
      </w:r>
      <w:proofErr w:type="spellStart"/>
      <w:proofErr w:type="gramStart"/>
      <w:r w:rsidR="006612A3" w:rsidRPr="005D252F">
        <w:t>Roman</w:t>
      </w:r>
      <w:proofErr w:type="spellEnd"/>
      <w:r w:rsidR="006612A3" w:rsidRPr="005D252F">
        <w:t>(</w:t>
      </w:r>
      <w:proofErr w:type="gramEnd"/>
      <w:r w:rsidR="006612A3" w:rsidRPr="005D252F">
        <w:t xml:space="preserve">11 pontos) </w:t>
      </w:r>
      <w:proofErr w:type="spellStart"/>
      <w:r w:rsidR="006612A3" w:rsidRPr="005D252F">
        <w:t>Normal</w:t>
      </w:r>
      <w:r w:rsidR="00351EA8" w:rsidRPr="005D252F">
        <w:rPr>
          <w:vertAlign w:val="superscript"/>
        </w:rPr>
        <w:t>b</w:t>
      </w:r>
      <w:proofErr w:type="spellEnd"/>
      <w:r w:rsidR="006612A3" w:rsidRPr="005D252F">
        <w:t xml:space="preserve">, </w:t>
      </w:r>
      <w:r w:rsidR="006612A3" w:rsidRPr="0026338C">
        <w:t xml:space="preserve">… </w:t>
      </w:r>
      <w:r w:rsidR="006612A3">
        <w:t>…. … …</w:t>
      </w:r>
      <w:r w:rsidR="006612A3" w:rsidRPr="0026338C">
        <w:t xml:space="preserve"> … …</w:t>
      </w:r>
      <w:r w:rsidR="00351EA8">
        <w:rPr>
          <w:vertAlign w:val="superscript"/>
        </w:rPr>
        <w:t>c</w:t>
      </w:r>
    </w:p>
    <w:p w14:paraId="28B7AFBD" w14:textId="77777777" w:rsidR="00351EA8" w:rsidRDefault="00351EA8" w:rsidP="006C5D69">
      <w:pPr>
        <w:pStyle w:val="Autores"/>
      </w:pPr>
    </w:p>
    <w:p w14:paraId="04278773" w14:textId="3F4F0C34" w:rsidR="00351EA8" w:rsidRPr="00287D13" w:rsidRDefault="00351EA8" w:rsidP="00351EA8">
      <w:pPr>
        <w:pStyle w:val="Autores"/>
        <w:rPr>
          <w:sz w:val="18"/>
        </w:rPr>
      </w:pPr>
      <w:r w:rsidRPr="00287D13">
        <w:rPr>
          <w:sz w:val="18"/>
          <w:vertAlign w:val="superscript"/>
        </w:rPr>
        <w:t>a</w:t>
      </w:r>
      <w:r w:rsidRPr="00287D13">
        <w:rPr>
          <w:sz w:val="18"/>
        </w:rPr>
        <w:t xml:space="preserve"> </w:t>
      </w:r>
      <w:r w:rsidRPr="00351EA8">
        <w:rPr>
          <w:sz w:val="18"/>
        </w:rPr>
        <w:t>Departamento de Engenharia Civil, Universidade de …</w:t>
      </w:r>
      <w:r>
        <w:rPr>
          <w:sz w:val="18"/>
        </w:rPr>
        <w:t xml:space="preserve">, País </w:t>
      </w:r>
      <w:r w:rsidRPr="00351EA8">
        <w:rPr>
          <w:sz w:val="18"/>
        </w:rPr>
        <w:t>(instituição do 1º autor).</w:t>
      </w:r>
    </w:p>
    <w:p w14:paraId="7B83F561" w14:textId="123A89E7" w:rsidR="00351EA8" w:rsidRDefault="00351EA8" w:rsidP="00351EA8">
      <w:pPr>
        <w:pStyle w:val="Autores"/>
        <w:rPr>
          <w:sz w:val="18"/>
        </w:rPr>
      </w:pPr>
      <w:r w:rsidRPr="00287D13">
        <w:rPr>
          <w:sz w:val="18"/>
          <w:vertAlign w:val="superscript"/>
        </w:rPr>
        <w:t>b</w:t>
      </w:r>
      <w:r w:rsidRPr="00287D13">
        <w:rPr>
          <w:sz w:val="18"/>
        </w:rPr>
        <w:t xml:space="preserve"> </w:t>
      </w:r>
      <w:r w:rsidRPr="00351EA8">
        <w:rPr>
          <w:sz w:val="18"/>
        </w:rPr>
        <w:t>Instituto Nacional de … ...</w:t>
      </w:r>
      <w:r>
        <w:rPr>
          <w:sz w:val="18"/>
        </w:rPr>
        <w:t>, País</w:t>
      </w:r>
    </w:p>
    <w:p w14:paraId="38F0BF92" w14:textId="1E04F0FB" w:rsidR="00351EA8" w:rsidRPr="00287D13" w:rsidRDefault="00351EA8" w:rsidP="00351EA8">
      <w:pPr>
        <w:pStyle w:val="Autores"/>
        <w:rPr>
          <w:sz w:val="18"/>
        </w:rPr>
      </w:pPr>
      <w:r w:rsidRPr="00351EA8">
        <w:rPr>
          <w:sz w:val="18"/>
          <w:vertAlign w:val="superscript"/>
        </w:rPr>
        <w:t>c</w:t>
      </w:r>
      <w:r>
        <w:rPr>
          <w:sz w:val="18"/>
        </w:rPr>
        <w:t xml:space="preserve"> Empresa, País</w:t>
      </w:r>
    </w:p>
    <w:p w14:paraId="0AF70B2A" w14:textId="77777777" w:rsidR="0048771D" w:rsidRDefault="00734BFA">
      <w:pPr>
        <w:pStyle w:val="ResumoPO"/>
      </w:pPr>
      <w:r>
        <w:rPr>
          <w:b/>
        </w:rPr>
        <w:t>RESUMO</w:t>
      </w:r>
      <w:r>
        <w:t xml:space="preserve"> </w:t>
      </w:r>
      <w:r w:rsidR="00715851">
        <w:t>–</w:t>
      </w:r>
      <w:r>
        <w:t xml:space="preserve"> </w:t>
      </w:r>
      <w:r w:rsidR="00DB2C6A">
        <w:t xml:space="preserve">Resumo do trabalho redigido em português, com fonte Times New </w:t>
      </w:r>
      <w:proofErr w:type="spellStart"/>
      <w:r w:rsidR="00DB2C6A">
        <w:t>Roman</w:t>
      </w:r>
      <w:proofErr w:type="spellEnd"/>
      <w:r w:rsidR="00DB2C6A">
        <w:t xml:space="preserve">, 9 pontos. </w:t>
      </w:r>
      <w:r w:rsidR="0027455B">
        <w:t>D</w:t>
      </w:r>
      <w:r w:rsidR="00DB2C6A">
        <w:t xml:space="preserve">eve ser escrito de uma forma concisa </w:t>
      </w:r>
      <w:r w:rsidR="0094685B">
        <w:t xml:space="preserve">e </w:t>
      </w:r>
      <w:r w:rsidR="00DB2C6A">
        <w:t>não dever</w:t>
      </w:r>
      <w:r w:rsidR="0094685B">
        <w:t>á exceder muito para além das dez linhas</w:t>
      </w:r>
      <w:r w:rsidR="0027455B">
        <w:t xml:space="preserve"> (cerca de 150 palavras)</w:t>
      </w:r>
      <w:r w:rsidR="0094685B">
        <w:t>.</w:t>
      </w:r>
    </w:p>
    <w:p w14:paraId="42740D52" w14:textId="25C64A29" w:rsidR="00734BFA" w:rsidRDefault="00351EA8">
      <w:pPr>
        <w:pStyle w:val="ResumoUK"/>
        <w:rPr>
          <w:lang w:val="pt-PT"/>
        </w:rPr>
      </w:pPr>
      <w:r>
        <w:rPr>
          <w:b/>
          <w:lang w:val="pt-PT"/>
        </w:rPr>
        <w:t>ABSTRACT</w:t>
      </w:r>
      <w:r w:rsidR="00734BFA" w:rsidRPr="0094685B">
        <w:rPr>
          <w:b/>
          <w:lang w:val="pt-PT"/>
        </w:rPr>
        <w:t xml:space="preserve"> </w:t>
      </w:r>
      <w:r w:rsidR="0048771D" w:rsidRPr="0094685B">
        <w:rPr>
          <w:lang w:val="pt-PT"/>
        </w:rPr>
        <w:t>–</w:t>
      </w:r>
      <w:r w:rsidR="00734BFA" w:rsidRPr="0094685B">
        <w:rPr>
          <w:lang w:val="pt-PT"/>
        </w:rPr>
        <w:t xml:space="preserve"> </w:t>
      </w:r>
      <w:r w:rsidR="0094685B" w:rsidRPr="0094685B">
        <w:rPr>
          <w:lang w:val="pt-PT"/>
        </w:rPr>
        <w:t>Resumo do trabalho redigido em ingl</w:t>
      </w:r>
      <w:r w:rsidR="00734BEC">
        <w:rPr>
          <w:lang w:val="pt-PT"/>
        </w:rPr>
        <w:t xml:space="preserve">ês, </w:t>
      </w:r>
      <w:r w:rsidR="00837F49">
        <w:rPr>
          <w:lang w:val="pt-PT"/>
        </w:rPr>
        <w:t xml:space="preserve">escrito </w:t>
      </w:r>
      <w:r w:rsidR="00734BEC">
        <w:rPr>
          <w:lang w:val="pt-PT"/>
        </w:rPr>
        <w:t>na</w:t>
      </w:r>
      <w:r w:rsidR="0094685B">
        <w:rPr>
          <w:lang w:val="pt-PT"/>
        </w:rPr>
        <w:t xml:space="preserve"> fonte Times New </w:t>
      </w:r>
      <w:proofErr w:type="spellStart"/>
      <w:r w:rsidR="0094685B">
        <w:rPr>
          <w:lang w:val="pt-PT"/>
        </w:rPr>
        <w:t>Roman</w:t>
      </w:r>
      <w:proofErr w:type="spellEnd"/>
      <w:r w:rsidR="0094685B">
        <w:rPr>
          <w:lang w:val="pt-PT"/>
        </w:rPr>
        <w:t>, 9 pontos.</w:t>
      </w:r>
    </w:p>
    <w:p w14:paraId="792FCC11" w14:textId="0CA8406A" w:rsidR="00F87EE1" w:rsidRDefault="00F87EE1" w:rsidP="00FB334D">
      <w:pPr>
        <w:pStyle w:val="ResumoUK"/>
        <w:spacing w:before="120"/>
        <w:rPr>
          <w:sz w:val="16"/>
          <w:szCs w:val="16"/>
          <w:lang w:val="pt-PT"/>
        </w:rPr>
      </w:pPr>
      <w:proofErr w:type="gramStart"/>
      <w:r w:rsidRPr="00F87EE1">
        <w:rPr>
          <w:b/>
          <w:lang w:val="pt-PT"/>
        </w:rPr>
        <w:t>Palavras Chave</w:t>
      </w:r>
      <w:proofErr w:type="gramEnd"/>
      <w:r w:rsidRPr="00F87EE1">
        <w:rPr>
          <w:b/>
          <w:lang w:val="pt-PT"/>
        </w:rPr>
        <w:t xml:space="preserve"> –</w:t>
      </w:r>
      <w:r w:rsidRPr="00F87EE1">
        <w:rPr>
          <w:sz w:val="16"/>
          <w:szCs w:val="16"/>
          <w:lang w:val="pt-PT"/>
        </w:rPr>
        <w:t xml:space="preserve"> </w:t>
      </w:r>
      <w:r w:rsidR="0094685B">
        <w:rPr>
          <w:sz w:val="16"/>
          <w:szCs w:val="16"/>
          <w:lang w:val="pt-PT"/>
        </w:rPr>
        <w:t>Três palavras ou express</w:t>
      </w:r>
      <w:r w:rsidR="00F80032">
        <w:rPr>
          <w:sz w:val="16"/>
          <w:szCs w:val="16"/>
          <w:lang w:val="pt-PT"/>
        </w:rPr>
        <w:t xml:space="preserve">ões, </w:t>
      </w:r>
      <w:r w:rsidR="00F4348B">
        <w:rPr>
          <w:sz w:val="16"/>
          <w:szCs w:val="16"/>
          <w:lang w:val="pt-PT"/>
        </w:rPr>
        <w:t>em minúscula</w:t>
      </w:r>
      <w:r w:rsidR="001F0340">
        <w:rPr>
          <w:sz w:val="16"/>
          <w:szCs w:val="16"/>
          <w:lang w:val="pt-PT"/>
        </w:rPr>
        <w:t xml:space="preserve">s, </w:t>
      </w:r>
      <w:r w:rsidR="00F80032">
        <w:rPr>
          <w:sz w:val="16"/>
          <w:szCs w:val="16"/>
          <w:lang w:val="pt-PT"/>
        </w:rPr>
        <w:t xml:space="preserve">escritas </w:t>
      </w:r>
      <w:r w:rsidR="0094685B">
        <w:rPr>
          <w:sz w:val="16"/>
          <w:szCs w:val="16"/>
          <w:lang w:val="pt-PT"/>
        </w:rPr>
        <w:t xml:space="preserve">em português, em Times New </w:t>
      </w:r>
      <w:proofErr w:type="spellStart"/>
      <w:r w:rsidR="0094685B">
        <w:rPr>
          <w:sz w:val="16"/>
          <w:szCs w:val="16"/>
          <w:lang w:val="pt-PT"/>
        </w:rPr>
        <w:t>Roman</w:t>
      </w:r>
      <w:proofErr w:type="spellEnd"/>
      <w:r w:rsidR="0094685B">
        <w:rPr>
          <w:sz w:val="16"/>
          <w:szCs w:val="16"/>
          <w:lang w:val="pt-PT"/>
        </w:rPr>
        <w:t>, 8 pontos.</w:t>
      </w:r>
    </w:p>
    <w:p w14:paraId="39B49ABE" w14:textId="530C1098" w:rsidR="00FC163F" w:rsidRPr="00F87EE1" w:rsidRDefault="00FC163F" w:rsidP="00ED390B">
      <w:pPr>
        <w:pStyle w:val="ResumoUK"/>
        <w:spacing w:before="0"/>
        <w:rPr>
          <w:sz w:val="16"/>
          <w:szCs w:val="16"/>
          <w:lang w:val="pt-PT"/>
        </w:rPr>
      </w:pPr>
      <w:proofErr w:type="spellStart"/>
      <w:r>
        <w:rPr>
          <w:b/>
          <w:lang w:val="pt-PT"/>
        </w:rPr>
        <w:t>Keywords</w:t>
      </w:r>
      <w:proofErr w:type="spellEnd"/>
      <w:r w:rsidRPr="00F87EE1">
        <w:rPr>
          <w:b/>
          <w:lang w:val="pt-PT"/>
        </w:rPr>
        <w:t xml:space="preserve"> –</w:t>
      </w:r>
      <w:r w:rsidRPr="00F87EE1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PT"/>
        </w:rPr>
        <w:t xml:space="preserve">Três palavras ou expressões, </w:t>
      </w:r>
      <w:r w:rsidR="001F0340">
        <w:rPr>
          <w:sz w:val="16"/>
          <w:szCs w:val="16"/>
          <w:lang w:val="pt-PT"/>
        </w:rPr>
        <w:t>em minúsculas</w:t>
      </w:r>
      <w:r w:rsidR="001F0340">
        <w:rPr>
          <w:sz w:val="16"/>
          <w:szCs w:val="16"/>
          <w:lang w:val="pt-PT"/>
        </w:rPr>
        <w:t xml:space="preserve">, </w:t>
      </w:r>
      <w:r>
        <w:rPr>
          <w:sz w:val="16"/>
          <w:szCs w:val="16"/>
          <w:lang w:val="pt-PT"/>
        </w:rPr>
        <w:t xml:space="preserve">escritas em inglês, em Times New </w:t>
      </w:r>
      <w:proofErr w:type="spellStart"/>
      <w:r>
        <w:rPr>
          <w:sz w:val="16"/>
          <w:szCs w:val="16"/>
          <w:lang w:val="pt-PT"/>
        </w:rPr>
        <w:t>Roman</w:t>
      </w:r>
      <w:proofErr w:type="spellEnd"/>
      <w:r>
        <w:rPr>
          <w:sz w:val="16"/>
          <w:szCs w:val="16"/>
          <w:lang w:val="pt-PT"/>
        </w:rPr>
        <w:t>, 8 pontos.</w:t>
      </w:r>
    </w:p>
    <w:p w14:paraId="60A13A85" w14:textId="564E1BF8" w:rsidR="00734BFA" w:rsidRPr="00140686" w:rsidRDefault="00132BBA" w:rsidP="009B6ECA">
      <w:pPr>
        <w:pStyle w:val="Heading1"/>
        <w:ind w:left="323" w:hanging="323"/>
      </w:pPr>
      <w:r w:rsidRPr="00140686">
        <w:rPr>
          <w:caps w:val="0"/>
        </w:rPr>
        <w:t>INTRODUÇÃO – MAIÚSCULAS, TIMES NEW ROMAN, 10 PONTOS, NEGRITO, DEIXANDO UM ESPAÇO ANTES E DEPOIS DO TÍTULO DE 10 PONTOS</w:t>
      </w:r>
    </w:p>
    <w:p w14:paraId="244EF5CE" w14:textId="77777777" w:rsidR="00FE79AB" w:rsidRDefault="00734BEC" w:rsidP="0016704F">
      <w:r w:rsidRPr="00734BEC">
        <w:t>Texto do artigo redigido em português e na terceira pessoa</w:t>
      </w:r>
      <w:r>
        <w:t>.</w:t>
      </w:r>
      <w:r w:rsidR="00B23BC0">
        <w:t xml:space="preserve"> </w:t>
      </w:r>
      <w:r w:rsidR="00FE79AB">
        <w:t>O trabalho</w:t>
      </w:r>
      <w:r w:rsidR="00A03A93">
        <w:t xml:space="preserve"> d</w:t>
      </w:r>
      <w:r>
        <w:t xml:space="preserve">everá ser </w:t>
      </w:r>
      <w:r w:rsidR="00FE79AB">
        <w:t xml:space="preserve">escrito </w:t>
      </w:r>
      <w:r w:rsidR="0066320D">
        <w:t xml:space="preserve">com um espaçamento simples entre linhas, </w:t>
      </w:r>
      <w:r w:rsidR="00FE79AB">
        <w:t xml:space="preserve">na fonte Times New </w:t>
      </w:r>
      <w:proofErr w:type="spellStart"/>
      <w:r w:rsidR="00FE79AB">
        <w:t>Roman</w:t>
      </w:r>
      <w:proofErr w:type="spellEnd"/>
      <w:r w:rsidR="00FE79AB">
        <w:t xml:space="preserve">, </w:t>
      </w:r>
      <w:r w:rsidR="00AD6D2C">
        <w:t>tamanho de</w:t>
      </w:r>
      <w:r w:rsidR="00C04F64">
        <w:t xml:space="preserve"> </w:t>
      </w:r>
      <w:r w:rsidR="00FE79AB">
        <w:t>10 pontos</w:t>
      </w:r>
      <w:r w:rsidR="00C04F64">
        <w:t>,</w:t>
      </w:r>
      <w:r w:rsidR="00FE79AB">
        <w:t xml:space="preserve"> e </w:t>
      </w:r>
      <w:r>
        <w:t>organizado em secções e subsecç</w:t>
      </w:r>
      <w:r w:rsidR="00FE79AB">
        <w:t>ões. O</w:t>
      </w:r>
      <w:r>
        <w:t>s títulos</w:t>
      </w:r>
      <w:r w:rsidR="0074755C">
        <w:t xml:space="preserve"> e subtítulos</w:t>
      </w:r>
      <w:r>
        <w:t xml:space="preserve"> </w:t>
      </w:r>
      <w:r w:rsidR="00C04F64">
        <w:t>correspondentes deverão</w:t>
      </w:r>
      <w:r w:rsidR="00FE79AB">
        <w:t xml:space="preserve"> </w:t>
      </w:r>
      <w:r>
        <w:t>ser colocados à esquerda da mancha</w:t>
      </w:r>
      <w:r w:rsidR="00FE79AB">
        <w:t xml:space="preserve"> das páginas</w:t>
      </w:r>
      <w:r w:rsidR="00AD6D2C">
        <w:t>,</w:t>
      </w:r>
      <w:r w:rsidR="00FE79AB">
        <w:t xml:space="preserve"> com as seguintes margens:</w:t>
      </w:r>
      <w:r w:rsidR="00C04F64">
        <w:t xml:space="preserve"> </w:t>
      </w:r>
      <w:r w:rsidR="00FE79AB">
        <w:t>esquerda - 2,5 cm;</w:t>
      </w:r>
      <w:r w:rsidR="00C04F64">
        <w:t xml:space="preserve"> </w:t>
      </w:r>
      <w:r w:rsidR="00FE79AB">
        <w:t>direita - 4,5 cm;</w:t>
      </w:r>
      <w:r w:rsidR="00C04F64">
        <w:t xml:space="preserve"> </w:t>
      </w:r>
      <w:r w:rsidR="00FE79AB">
        <w:t xml:space="preserve">superior - </w:t>
      </w:r>
      <w:smartTag w:uri="urn:schemas-microsoft-com:office:smarttags" w:element="metricconverter">
        <w:smartTagPr>
          <w:attr w:name="ProductID" w:val="2ﾠcm"/>
        </w:smartTagPr>
        <w:r w:rsidR="00FE79AB">
          <w:t>2 cm</w:t>
        </w:r>
      </w:smartTag>
      <w:r w:rsidR="00C04F64">
        <w:t xml:space="preserve"> e </w:t>
      </w:r>
      <w:r w:rsidR="00FE79AB">
        <w:t xml:space="preserve">inferior - </w:t>
      </w:r>
      <w:smartTag w:uri="urn:schemas-microsoft-com:office:smarttags" w:element="metricconverter">
        <w:smartTagPr>
          <w:attr w:name="ProductID" w:val="7ﾠcm"/>
        </w:smartTagPr>
        <w:r w:rsidR="00FE79AB">
          <w:t>7 cm</w:t>
        </w:r>
      </w:smartTag>
      <w:r w:rsidR="003371B5">
        <w:t xml:space="preserve"> (tal como neste documento)</w:t>
      </w:r>
      <w:r w:rsidR="00FE79AB">
        <w:t>.</w:t>
      </w:r>
      <w:r w:rsidR="00C04F64">
        <w:t xml:space="preserve"> </w:t>
      </w:r>
    </w:p>
    <w:p w14:paraId="0438B27C" w14:textId="77777777" w:rsidR="00B23BC0" w:rsidRDefault="00FE79AB" w:rsidP="003A71A1">
      <w:r w:rsidRPr="00734BEC">
        <w:rPr>
          <w:u w:val="single"/>
        </w:rPr>
        <w:t xml:space="preserve">No total </w:t>
      </w:r>
      <w:r>
        <w:rPr>
          <w:u w:val="single"/>
        </w:rPr>
        <w:t xml:space="preserve">o artigo </w:t>
      </w:r>
      <w:r w:rsidRPr="00734BEC">
        <w:rPr>
          <w:u w:val="single"/>
        </w:rPr>
        <w:t>não deverá exceder as trinta páginas</w:t>
      </w:r>
      <w:r w:rsidRPr="00734BEC">
        <w:t>.</w:t>
      </w:r>
    </w:p>
    <w:p w14:paraId="0E23FFF0" w14:textId="77777777" w:rsidR="003A71A1" w:rsidRPr="0074755C" w:rsidRDefault="0027455B" w:rsidP="003A71A1">
      <w:r>
        <w:t xml:space="preserve">Todos os títulos das secções e subsecções deverão ser numerados de forma sequencial. </w:t>
      </w:r>
      <w:r w:rsidR="003A71A1" w:rsidRPr="00734BEC">
        <w:t>As figuras, quadros e</w:t>
      </w:r>
      <w:r w:rsidR="00D64C51" w:rsidRPr="00734BEC">
        <w:t>/ou</w:t>
      </w:r>
      <w:r w:rsidR="003A71A1" w:rsidRPr="00734BEC">
        <w:t xml:space="preserve"> tabelas deverão ser incluídas ao longo do artigo</w:t>
      </w:r>
      <w:r w:rsidR="0074755C">
        <w:t>, depois de serem chamadas no texto</w:t>
      </w:r>
      <w:r w:rsidR="00A03A93">
        <w:t>,</w:t>
      </w:r>
      <w:r w:rsidR="003A71A1" w:rsidRPr="00734BEC">
        <w:t xml:space="preserve"> e </w:t>
      </w:r>
      <w:r w:rsidR="00A03A93">
        <w:t>inseridas</w:t>
      </w:r>
      <w:r w:rsidR="0074755C">
        <w:t xml:space="preserve"> </w:t>
      </w:r>
      <w:r w:rsidR="003A71A1" w:rsidRPr="00734BEC">
        <w:t xml:space="preserve">nos locais </w:t>
      </w:r>
      <w:r w:rsidR="006D0F16" w:rsidRPr="00734BEC">
        <w:t xml:space="preserve">mais </w:t>
      </w:r>
      <w:r w:rsidR="003A71A1" w:rsidRPr="00734BEC">
        <w:t>apropriados</w:t>
      </w:r>
      <w:r w:rsidR="0074755C">
        <w:t xml:space="preserve">, </w:t>
      </w:r>
      <w:proofErr w:type="gramStart"/>
      <w:r w:rsidR="0074755C">
        <w:t>de modo a que</w:t>
      </w:r>
      <w:proofErr w:type="gramEnd"/>
      <w:r w:rsidR="0074755C">
        <w:t xml:space="preserve"> a mancha de cada página do artigo seja preenchida, procurando</w:t>
      </w:r>
      <w:r w:rsidR="00837F49">
        <w:t>-se</w:t>
      </w:r>
      <w:r w:rsidR="00D41804">
        <w:t xml:space="preserve"> </w:t>
      </w:r>
      <w:r w:rsidR="0074755C">
        <w:t xml:space="preserve">não deixar </w:t>
      </w:r>
      <w:r w:rsidR="00A03A93">
        <w:t xml:space="preserve">grandes </w:t>
      </w:r>
      <w:r w:rsidR="0074755C">
        <w:t>espaços em branco</w:t>
      </w:r>
      <w:r w:rsidR="00C04F64">
        <w:t>,</w:t>
      </w:r>
      <w:r w:rsidR="0074755C">
        <w:t xml:space="preserve"> </w:t>
      </w:r>
      <w:r w:rsidR="00C04F64">
        <w:t xml:space="preserve">ao longo do texto </w:t>
      </w:r>
      <w:r w:rsidR="00A03A93">
        <w:t xml:space="preserve">e </w:t>
      </w:r>
      <w:r w:rsidR="0074755C">
        <w:t>entre as sucessivas páginas.</w:t>
      </w:r>
    </w:p>
    <w:p w14:paraId="161E5935" w14:textId="6BDC662C" w:rsidR="003A71A1" w:rsidRDefault="00132BBA" w:rsidP="00140686">
      <w:pPr>
        <w:pStyle w:val="Heading1"/>
      </w:pPr>
      <w:r>
        <w:rPr>
          <w:caps w:val="0"/>
        </w:rPr>
        <w:lastRenderedPageBreak/>
        <w:t>TÍTULO DA SEGUNDA SECÇÃO – QUADROS, FIGURAS E FOTOGRAFIAS</w:t>
      </w:r>
    </w:p>
    <w:p w14:paraId="2550F084" w14:textId="77777777" w:rsidR="00EA1F53" w:rsidRDefault="00EA1F53" w:rsidP="00EA1F53">
      <w:r>
        <w:t xml:space="preserve">Os quadros, </w:t>
      </w:r>
      <w:r w:rsidR="00C04F64">
        <w:t xml:space="preserve">gráficos, </w:t>
      </w:r>
      <w:r>
        <w:t>plantas, figuras e fotografias deverão ser sempre a preto e branco, podendo incluir tons de cinzentos</w:t>
      </w:r>
      <w:r w:rsidR="00C04F64">
        <w:t xml:space="preserve"> com bom nível de contraste</w:t>
      </w:r>
      <w:r>
        <w:t>. Deverão ser inseridos no texto do artigo,</w:t>
      </w:r>
      <w:r w:rsidR="004A6662">
        <w:t xml:space="preserve"> centrados e </w:t>
      </w:r>
      <w:r>
        <w:t>tanto quanto possível, junto à sua referência no texto</w:t>
      </w:r>
      <w:r w:rsidR="00AD6D2C">
        <w:t>. O tamanho das figuras e quadros n</w:t>
      </w:r>
      <w:r>
        <w:t>ão dever</w:t>
      </w:r>
      <w:r w:rsidR="00AD6D2C">
        <w:t>á exceder o</w:t>
      </w:r>
      <w:r w:rsidR="00C04F64">
        <w:t xml:space="preserve"> da mancha.</w:t>
      </w:r>
      <w:r w:rsidR="003371B5">
        <w:t xml:space="preserve"> As fotografias deverão apresentar contrastes nítidos e devem ser consideradas como figuras. Os quadros deverão ter a sua identificação no topo e para as figuras deverá ser na sua base.</w:t>
      </w:r>
    </w:p>
    <w:p w14:paraId="2D27BC84" w14:textId="77777777" w:rsidR="001373FB" w:rsidRDefault="001373FB" w:rsidP="00EA1F53"/>
    <w:p w14:paraId="6877CF25" w14:textId="77777777" w:rsidR="001373FB" w:rsidRDefault="001373FB" w:rsidP="001373FB">
      <w:pPr>
        <w:spacing w:after="120"/>
        <w:ind w:firstLine="0"/>
        <w:jc w:val="center"/>
      </w:pPr>
      <w:r>
        <w:rPr>
          <w:b/>
        </w:rPr>
        <w:t>Quadro 1</w:t>
      </w:r>
      <w:r>
        <w:t xml:space="preserve"> – Identificação do quadro 1- deverá ser colocada no topo do quadro e centrada.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9"/>
        <w:gridCol w:w="828"/>
        <w:gridCol w:w="874"/>
        <w:gridCol w:w="830"/>
        <w:gridCol w:w="1074"/>
        <w:gridCol w:w="1304"/>
        <w:gridCol w:w="703"/>
      </w:tblGrid>
      <w:tr w:rsidR="001373FB" w14:paraId="269D4935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52AB50" w14:textId="77777777" w:rsidR="001373FB" w:rsidRPr="001373FB" w:rsidRDefault="001373FB" w:rsidP="00AB2EDD">
            <w:pPr>
              <w:ind w:firstLine="0"/>
              <w:jc w:val="center"/>
              <w:rPr>
                <w:szCs w:val="24"/>
              </w:rPr>
            </w:pPr>
            <w:r w:rsidRPr="001373FB">
              <w:rPr>
                <w:b/>
                <w:szCs w:val="24"/>
              </w:rPr>
              <w:t>Exemplo de um quadro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82F2FB" w14:textId="77777777" w:rsidR="001373FB" w:rsidRPr="009B62DD" w:rsidRDefault="009B62DD" w:rsidP="00AB2EDD">
            <w:pPr>
              <w:spacing w:line="200" w:lineRule="exact"/>
              <w:ind w:firstLine="0"/>
              <w:jc w:val="center"/>
              <w:rPr>
                <w:b/>
                <w:szCs w:val="24"/>
              </w:rPr>
            </w:pPr>
            <w:r w:rsidRPr="009B62DD">
              <w:rPr>
                <w:b/>
                <w:szCs w:val="24"/>
              </w:rPr>
              <w:t>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B055A2" w14:textId="77777777" w:rsidR="001373FB" w:rsidRPr="009B62DD" w:rsidRDefault="009B62DD" w:rsidP="00AB2EDD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9B62DD">
              <w:rPr>
                <w:b/>
                <w:iCs/>
                <w:szCs w:val="24"/>
              </w:rPr>
              <w:t>B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D20882" w14:textId="77777777" w:rsidR="001373FB" w:rsidRPr="009B62DD" w:rsidRDefault="009B62DD" w:rsidP="00AB2EDD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9B62DD">
              <w:rPr>
                <w:b/>
                <w:iCs/>
                <w:szCs w:val="24"/>
              </w:rPr>
              <w:t>C</w:t>
            </w:r>
          </w:p>
        </w:tc>
      </w:tr>
      <w:tr w:rsidR="001373FB" w14:paraId="2750BA7B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0E31E5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9D0E82" w14:textId="77777777" w:rsidR="001373FB" w:rsidRDefault="001373FB" w:rsidP="00AB2EDD">
            <w:pPr>
              <w:spacing w:line="20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4275DB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B02A39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</w:tr>
      <w:tr w:rsidR="001373FB" w14:paraId="76BE79B9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EB821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BAB3B6" w14:textId="77777777" w:rsidR="001373FB" w:rsidRDefault="001373FB" w:rsidP="00AB2EDD">
            <w:pPr>
              <w:spacing w:line="20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8D3245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6CE6326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</w:tr>
      <w:tr w:rsidR="001373FB" w14:paraId="40954A18" w14:textId="77777777" w:rsidTr="00AB2EDD">
        <w:trPr>
          <w:cantSplit/>
          <w:trHeight w:val="244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50B502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3CB883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7F4890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0FA763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</w:tr>
      <w:tr w:rsidR="001373FB" w14:paraId="5B488323" w14:textId="77777777" w:rsidTr="00AB2EDD">
        <w:trPr>
          <w:cantSplit/>
          <w:trHeight w:val="229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485F59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7EB101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91468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70B798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00594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22E3EB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F8E9074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</w:tr>
      <w:tr w:rsidR="001373FB" w14:paraId="6137A922" w14:textId="77777777" w:rsidTr="00AB2EDD">
        <w:trPr>
          <w:cantSplit/>
          <w:trHeight w:val="228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DBBD1F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F2F4DA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A81793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9D4E13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C9096B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7B1189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C6912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</w:tr>
      <w:tr w:rsidR="001373FB" w14:paraId="592BA819" w14:textId="77777777" w:rsidTr="00AB2EDD">
        <w:trPr>
          <w:cantSplit/>
          <w:trHeight w:val="600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F607623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2A0EF10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000432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D9B4E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7ADC99BA" w14:textId="77777777" w:rsidR="001373FB" w:rsidRDefault="001373FB" w:rsidP="00EA1F53"/>
    <w:p w14:paraId="7C0272D2" w14:textId="77777777" w:rsidR="00C04F64" w:rsidRDefault="00C04F64" w:rsidP="00EA1F53">
      <w:r w:rsidRPr="00C04F64">
        <w:t xml:space="preserve">No caso de terem sido digitalizados através de um </w:t>
      </w:r>
      <w:r w:rsidRPr="00C04F64">
        <w:rPr>
          <w:i/>
        </w:rPr>
        <w:t>scanner</w:t>
      </w:r>
      <w:r>
        <w:t>, convém que apresentem</w:t>
      </w:r>
      <w:r w:rsidRPr="00C04F64">
        <w:t xml:space="preserve"> boa qualidade. Imagens com áreas coloridas segundo escalas de cores</w:t>
      </w:r>
      <w:r w:rsidR="003371B5">
        <w:t>,</w:t>
      </w:r>
      <w:r w:rsidRPr="00C04F64">
        <w:t xml:space="preserve"> deverão apresentar su</w:t>
      </w:r>
      <w:r w:rsidR="003371B5">
        <w:t>ficiente contraste entre as várias cores utilizada</w:t>
      </w:r>
      <w:r w:rsidRPr="00C04F64">
        <w:t>s</w:t>
      </w:r>
      <w:r w:rsidR="003371B5">
        <w:t>,</w:t>
      </w:r>
      <w:r w:rsidRPr="00C04F64">
        <w:t xml:space="preserve"> para que sejam visíveis numa impressão em tons de cinzentos</w:t>
      </w:r>
      <w:r>
        <w:t>.</w:t>
      </w:r>
    </w:p>
    <w:p w14:paraId="04FBE50B" w14:textId="77777777" w:rsidR="001373FB" w:rsidRDefault="001373FB" w:rsidP="001373FB"/>
    <w:p w14:paraId="4E8E891F" w14:textId="77777777" w:rsidR="001373FB" w:rsidRDefault="00D87317" w:rsidP="006211CB">
      <w:pPr>
        <w:ind w:firstLine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5A133C4" wp14:editId="344BBE78">
                <wp:extent cx="2469515" cy="1684020"/>
                <wp:effectExtent l="0" t="0" r="635" b="4445"/>
                <wp:docPr id="1" name="Rectangle 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168402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59DD6" id="Rectangle 3" o:spid="_x0000_s1026" alt="5%" style="width:194.45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" fillcolor="black" stroked="f">
                <v:fill r:id="rId8" o:title="" type="pattern"/>
                <w10:anchorlock/>
              </v:rect>
            </w:pict>
          </mc:Fallback>
        </mc:AlternateContent>
      </w:r>
    </w:p>
    <w:p w14:paraId="4D2F57F5" w14:textId="77777777" w:rsidR="001373FB" w:rsidRDefault="001373FB" w:rsidP="006211CB">
      <w:pPr>
        <w:spacing w:before="120" w:after="120"/>
        <w:ind w:firstLine="0"/>
        <w:jc w:val="center"/>
      </w:pPr>
      <w:r>
        <w:rPr>
          <w:b/>
        </w:rPr>
        <w:t xml:space="preserve">Fig. 1 </w:t>
      </w:r>
      <w:r>
        <w:t>– Identificação da figura1.</w:t>
      </w:r>
    </w:p>
    <w:p w14:paraId="2C4E28D9" w14:textId="7E9CBE74" w:rsidR="001373FB" w:rsidRDefault="00132BBA" w:rsidP="00140686">
      <w:pPr>
        <w:pStyle w:val="Heading1"/>
      </w:pPr>
      <w:r>
        <w:rPr>
          <w:caps w:val="0"/>
        </w:rPr>
        <w:t>TÍTULO DA TERCEIRA SECÇÃO - EQUAÇÕES</w:t>
      </w:r>
    </w:p>
    <w:p w14:paraId="4D81D450" w14:textId="77777777" w:rsidR="00036F54" w:rsidRDefault="00AE0E84" w:rsidP="00036F54">
      <w:r>
        <w:t>As equações e expressões matemáticas devem ser centradas e numeradas sequencia</w:t>
      </w:r>
      <w:r w:rsidR="0053497B">
        <w:t>l</w:t>
      </w:r>
      <w:r>
        <w:t>mente</w:t>
      </w:r>
      <w:r w:rsidR="0053497B">
        <w:t>, com o número de equação justificado à direita</w:t>
      </w:r>
      <w:r w:rsidR="001D1BB5">
        <w:t>,</w:t>
      </w:r>
      <w:r w:rsidR="0053497B">
        <w:t xml:space="preserve"> e escrito entre parêntesis. As</w:t>
      </w:r>
      <w:r w:rsidR="001D1BB5">
        <w:t xml:space="preserve"> equações deverão ser feitas n</w:t>
      </w:r>
      <w:r w:rsidR="0053497B">
        <w:t>a mesma fo</w:t>
      </w:r>
      <w:r w:rsidR="001D1BB5">
        <w:t>nte do texto</w:t>
      </w:r>
      <w:r w:rsidR="00CD3CD1">
        <w:t xml:space="preserve">, exceto se utilizar o editor de equações do Word, em que a fonte será </w:t>
      </w:r>
      <w:proofErr w:type="spellStart"/>
      <w:r w:rsidR="00CD3CD1" w:rsidRPr="006A4E8B">
        <w:rPr>
          <w:rFonts w:ascii="Cambria Math" w:hAnsi="Cambria Math"/>
          <w:i/>
        </w:rPr>
        <w:t>Cambria</w:t>
      </w:r>
      <w:proofErr w:type="spellEnd"/>
      <w:r w:rsidR="00CD3CD1" w:rsidRPr="006A4E8B">
        <w:rPr>
          <w:rFonts w:ascii="Cambria Math" w:hAnsi="Cambria Math"/>
          <w:i/>
        </w:rPr>
        <w:t xml:space="preserve"> </w:t>
      </w:r>
      <w:proofErr w:type="spellStart"/>
      <w:r w:rsidR="00CD3CD1" w:rsidRPr="006A4E8B">
        <w:rPr>
          <w:rFonts w:ascii="Cambria Math" w:hAnsi="Cambria Math"/>
          <w:i/>
        </w:rPr>
        <w:t>Math</w:t>
      </w:r>
      <w:proofErr w:type="spellEnd"/>
      <w:r w:rsidR="001D1BB5">
        <w:t>.</w:t>
      </w:r>
      <w:r w:rsidR="0053497B">
        <w:t xml:space="preserve"> Deverão usar-se símbol</w:t>
      </w:r>
      <w:r w:rsidR="00127F01">
        <w:t xml:space="preserve">os convencionais e unidades do Sistema </w:t>
      </w:r>
      <w:r w:rsidR="0053497B">
        <w:t>I</w:t>
      </w:r>
      <w:r w:rsidR="00127F01">
        <w:t>nternacional (SI)</w:t>
      </w:r>
      <w:r w:rsidR="0053497B">
        <w:t>.</w:t>
      </w:r>
      <w:r w:rsidR="00036F54" w:rsidRPr="00036F54">
        <w:t xml:space="preserve"> </w:t>
      </w:r>
      <w:r w:rsidR="00036F54">
        <w:t>Os símbolos e variáveis usados nas equações deverão ser identificados, no texto</w:t>
      </w:r>
      <w:r w:rsidR="008F6416">
        <w:t xml:space="preserve">, </w:t>
      </w:r>
      <w:r w:rsidR="00546820">
        <w:t xml:space="preserve">ou abaixo da equação (como por exemplo </w:t>
      </w:r>
      <w:r w:rsidR="00036F54">
        <w:t>a equação 1</w:t>
      </w:r>
      <w:r w:rsidR="00546820">
        <w:t>)</w:t>
      </w:r>
      <w:r w:rsidR="00036F54">
        <w:t>.</w:t>
      </w:r>
      <w:r w:rsidR="008F6416">
        <w:t xml:space="preserve"> No caso de equações seguidas em várias linhas a </w:t>
      </w:r>
      <w:r w:rsidR="008F6416">
        <w:lastRenderedPageBreak/>
        <w:t>numeração poderá ser feita na linha da última equação.</w:t>
      </w:r>
      <w:r w:rsidR="007F36B3">
        <w:t xml:space="preserve"> A seguir t</w:t>
      </w:r>
      <w:r w:rsidR="008E5C35">
        <w:t>e</w:t>
      </w:r>
      <w:r w:rsidR="007F36B3">
        <w:t xml:space="preserve">m-se um exemplo de </w:t>
      </w:r>
      <w:r w:rsidR="008E5C35">
        <w:t>duas</w:t>
      </w:r>
      <w:r w:rsidR="007F36B3">
        <w:t xml:space="preserve"> equaç</w:t>
      </w:r>
      <w:r w:rsidR="008E5C35">
        <w:t>ões</w:t>
      </w:r>
      <w:r w:rsidR="00E10D9F">
        <w:t xml:space="preserve">, com numeração </w:t>
      </w:r>
      <w:r w:rsidR="00101233">
        <w:t>automática</w:t>
      </w:r>
      <w:r w:rsidR="007F36B3">
        <w:t>:</w:t>
      </w:r>
    </w:p>
    <w:p w14:paraId="08BAE5D8" w14:textId="77777777" w:rsidR="00716883" w:rsidRPr="008E5C35" w:rsidRDefault="00000000" w:rsidP="00716883">
      <w:pPr>
        <w:pStyle w:val="EquaoGeot"/>
        <w:rPr>
          <w:rFonts w:ascii="Times New Roman" w:hAnsi="Times New Roman"/>
          <w:i w:val="0"/>
        </w:rPr>
      </w:pPr>
      <m:oMathPara>
        <m:oMath>
          <m:eqArr>
            <m:eqArrPr>
              <m:maxDist m:val="1"/>
              <m:ctrlPr/>
            </m:eqArrPr>
            <m:e>
              <m:r>
                <m:t>A=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/</m:t>
                  </m:r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ctrlPr/>
                    </m:dPr>
                    <m:e>
                      <m:r>
                        <m:t>20+</m:t>
                      </m:r>
                      <m:sSup>
                        <m:sSupPr>
                          <m:ctrlPr/>
                        </m:sSupPr>
                        <m:e>
                          <m:r>
                            <m:t>α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+β</m:t>
                      </m:r>
                    </m:e>
                  </m:d>
                  <m:r>
                    <m:t>/2f</m:t>
                  </m:r>
                </m:den>
              </m:f>
              <m: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noProof/>
                    </w:rPr>
                    <m:t>1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05104EB6" w14:textId="77777777" w:rsidR="00716883" w:rsidRPr="001D13FF" w:rsidRDefault="00000000" w:rsidP="00716883">
      <w:pPr>
        <w:pStyle w:val="EquaoGeot"/>
        <w:rPr>
          <w:i w:val="0"/>
        </w:rPr>
      </w:pPr>
      <m:oMathPara>
        <m:oMath>
          <m:eqArr>
            <m:eqArrPr>
              <m:maxDist m:val="1"/>
              <m:ctrlPr/>
            </m:eqArrPr>
            <m:e>
              <m:sSub>
                <m:sSubPr>
                  <m:ctrlPr/>
                </m:sSubPr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nary>
                <m:naryPr>
                  <m:limLoc m:val="subSup"/>
                  <m:ctrlPr/>
                </m:naryPr>
                <m:sub>
                  <m:r>
                    <m:t>0</m:t>
                  </m:r>
                </m:sub>
                <m:sup>
                  <m:r>
                    <m:t>l</m:t>
                  </m:r>
                </m:sup>
                <m:e>
                  <m:r>
                    <m:t>g</m:t>
                  </m:r>
                  <m:d>
                    <m:dPr>
                      <m:ctrlPr/>
                    </m:dPr>
                    <m:e>
                      <m:r>
                        <m:t>x</m:t>
                      </m:r>
                    </m:e>
                  </m:d>
                  <m:r>
                    <m:t xml:space="preserve"> dx</m:t>
                  </m:r>
                </m:e>
              </m:nary>
              <m: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noProof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5DA85B48" w14:textId="77777777" w:rsidR="00036F54" w:rsidRDefault="007F36B3" w:rsidP="00036F54">
      <w:pPr>
        <w:ind w:hanging="11"/>
      </w:pPr>
      <w:r>
        <w:t>onde</w:t>
      </w:r>
      <w:r w:rsidR="006074DD">
        <w:t xml:space="preserve"> </w:t>
      </w:r>
      <w:r w:rsidR="00036F54">
        <w:sym w:font="Symbol" w:char="F061"/>
      </w:r>
      <w:r w:rsidR="00036F54">
        <w:t xml:space="preserve">, </w:t>
      </w:r>
      <w:r w:rsidR="00036F54">
        <w:sym w:font="Symbol" w:char="F062"/>
      </w:r>
      <w:r w:rsidR="003305D0">
        <w:t>,</w:t>
      </w:r>
      <w:r w:rsidR="00816D19">
        <w:t xml:space="preserve"> f</w:t>
      </w:r>
      <w:r w:rsidR="003305D0">
        <w:t xml:space="preserve"> e g</w:t>
      </w:r>
      <w:r w:rsidR="00816D19">
        <w:t xml:space="preserve"> são …(</w:t>
      </w:r>
      <w:r w:rsidR="00036F54">
        <w:t>identificação do seu significado</w:t>
      </w:r>
      <w:r w:rsidR="00816D19">
        <w:t>)</w:t>
      </w:r>
      <w:r w:rsidR="00036F54">
        <w:t>;</w:t>
      </w:r>
      <w:r w:rsidR="00816D19">
        <w:t xml:space="preserve"> </w:t>
      </w:r>
      <w:r w:rsidR="00036F54">
        <w:t>G</w:t>
      </w:r>
      <w:r w:rsidR="00837F49">
        <w:rPr>
          <w:vertAlign w:val="subscript"/>
        </w:rPr>
        <w:t>1</w:t>
      </w:r>
      <w:r w:rsidR="00837F49">
        <w:t xml:space="preserve"> e G</w:t>
      </w:r>
      <w:r w:rsidR="00837F49">
        <w:rPr>
          <w:vertAlign w:val="subscript"/>
        </w:rPr>
        <w:t>2</w:t>
      </w:r>
      <w:r w:rsidR="00837F49">
        <w:t xml:space="preserve"> </w:t>
      </w:r>
      <w:r w:rsidR="00816D19">
        <w:t>são … (</w:t>
      </w:r>
      <w:r w:rsidR="00036F54">
        <w:t>identificação</w:t>
      </w:r>
      <w:r w:rsidR="00816D19">
        <w:t xml:space="preserve">) e </w:t>
      </w:r>
      <w:r w:rsidR="00036F54">
        <w:t xml:space="preserve">A </w:t>
      </w:r>
      <w:r w:rsidR="00816D19">
        <w:t>é … (</w:t>
      </w:r>
      <w:r w:rsidR="00036F54">
        <w:t>identificação</w:t>
      </w:r>
      <w:r w:rsidR="00816D19">
        <w:t>)</w:t>
      </w:r>
      <w:r w:rsidR="00036F54">
        <w:t>.</w:t>
      </w:r>
    </w:p>
    <w:p w14:paraId="1EC2B7B8" w14:textId="77777777" w:rsidR="00036F54" w:rsidRPr="001373FB" w:rsidRDefault="00036F54" w:rsidP="00036F54"/>
    <w:p w14:paraId="2F0ECA2A" w14:textId="77777777" w:rsidR="001373FB" w:rsidRPr="00360C01" w:rsidRDefault="001373FB" w:rsidP="00360C01">
      <w:pPr>
        <w:pStyle w:val="Heading2"/>
      </w:pPr>
      <w:r w:rsidRPr="00360C01">
        <w:t>Primeiro subtítulo da terceira secção</w:t>
      </w:r>
      <w:r w:rsidR="00FB334D" w:rsidRPr="00360C01">
        <w:t xml:space="preserve"> –</w:t>
      </w:r>
      <w:r w:rsidR="007062BF" w:rsidRPr="00360C01">
        <w:t xml:space="preserve"> </w:t>
      </w:r>
      <w:r w:rsidR="00FB334D" w:rsidRPr="00360C01">
        <w:t xml:space="preserve">Times New </w:t>
      </w:r>
      <w:proofErr w:type="spellStart"/>
      <w:r w:rsidR="00FB334D" w:rsidRPr="00360C01">
        <w:t>Roman</w:t>
      </w:r>
      <w:proofErr w:type="spellEnd"/>
      <w:r w:rsidR="00FB334D" w:rsidRPr="00360C01">
        <w:t>, 10 pontos</w:t>
      </w:r>
      <w:r w:rsidR="007062BF" w:rsidRPr="00360C01">
        <w:t>, negrito</w:t>
      </w:r>
    </w:p>
    <w:p w14:paraId="656E6933" w14:textId="77777777" w:rsidR="001373FB" w:rsidRPr="001373FB" w:rsidRDefault="001373FB" w:rsidP="001373FB"/>
    <w:p w14:paraId="57C6AF5B" w14:textId="77777777" w:rsidR="001373FB" w:rsidRDefault="001373FB" w:rsidP="001373FB">
      <w:pPr>
        <w:pStyle w:val="Heading2"/>
        <w:spacing w:after="200"/>
      </w:pPr>
      <w:r>
        <w:t>Segundo subtítulo da terceira secção</w:t>
      </w:r>
      <w:r w:rsidR="00FB334D">
        <w:t xml:space="preserve"> –</w:t>
      </w:r>
      <w:r w:rsidR="007062BF">
        <w:t xml:space="preserve"> </w:t>
      </w:r>
      <w:r w:rsidR="00FB334D">
        <w:t xml:space="preserve">Times New </w:t>
      </w:r>
      <w:proofErr w:type="spellStart"/>
      <w:r w:rsidR="00FB334D">
        <w:t>Roman</w:t>
      </w:r>
      <w:proofErr w:type="spellEnd"/>
      <w:r w:rsidR="00FB334D">
        <w:t>, 10 pontos</w:t>
      </w:r>
      <w:r w:rsidR="007062BF">
        <w:t>, negrito</w:t>
      </w:r>
    </w:p>
    <w:p w14:paraId="7C420A20" w14:textId="77777777" w:rsidR="001373FB" w:rsidRPr="001373FB" w:rsidRDefault="001373FB" w:rsidP="001373FB"/>
    <w:p w14:paraId="0C8B6630" w14:textId="77777777" w:rsidR="001373FB" w:rsidRDefault="0040552A" w:rsidP="0037447B">
      <w:pPr>
        <w:pStyle w:val="Heading3"/>
      </w:pPr>
      <w:r>
        <w:t>Subtítulo</w:t>
      </w:r>
      <w:r w:rsidR="00FB334D" w:rsidRPr="00FB334D">
        <w:t xml:space="preserve"> </w:t>
      </w:r>
      <w:r w:rsidR="00FB334D">
        <w:t xml:space="preserve">– Times New </w:t>
      </w:r>
      <w:proofErr w:type="spellStart"/>
      <w:r w:rsidR="00FB334D">
        <w:t>Roman</w:t>
      </w:r>
      <w:proofErr w:type="spellEnd"/>
      <w:r w:rsidR="00FB334D">
        <w:t>, 10 pontos, itálico</w:t>
      </w:r>
      <w:r w:rsidR="007062BF">
        <w:t>, negrito</w:t>
      </w:r>
    </w:p>
    <w:p w14:paraId="5ADBFCF4" w14:textId="77777777" w:rsidR="008F6416" w:rsidRPr="008F6416" w:rsidRDefault="008F6416" w:rsidP="008F6416"/>
    <w:p w14:paraId="4483FB5A" w14:textId="77777777" w:rsidR="001373FB" w:rsidRPr="00FB334D" w:rsidRDefault="0053012B" w:rsidP="0037447B">
      <w:pPr>
        <w:pStyle w:val="Heading4"/>
        <w:rPr>
          <w:lang w:val="pt-PT"/>
        </w:rPr>
      </w:pPr>
      <w:r w:rsidRPr="00FB334D">
        <w:rPr>
          <w:lang w:val="pt-PT"/>
        </w:rPr>
        <w:t>Subtítulo</w:t>
      </w:r>
      <w:r w:rsidR="00FB334D">
        <w:rPr>
          <w:lang w:val="pt-PT"/>
        </w:rPr>
        <w:t xml:space="preserve"> </w:t>
      </w:r>
      <w:r w:rsidR="00FB334D" w:rsidRPr="00FB334D">
        <w:rPr>
          <w:lang w:val="pt-PT"/>
        </w:rPr>
        <w:t xml:space="preserve">– Times New </w:t>
      </w:r>
      <w:proofErr w:type="spellStart"/>
      <w:r w:rsidR="00FB334D" w:rsidRPr="00FB334D">
        <w:rPr>
          <w:lang w:val="pt-PT"/>
        </w:rPr>
        <w:t>Roman</w:t>
      </w:r>
      <w:proofErr w:type="spellEnd"/>
      <w:r w:rsidR="00FB334D" w:rsidRPr="00FB334D">
        <w:rPr>
          <w:lang w:val="pt-PT"/>
        </w:rPr>
        <w:t>, 10 pontos, itálico</w:t>
      </w:r>
      <w:r w:rsidR="007062BF">
        <w:rPr>
          <w:lang w:val="pt-PT"/>
        </w:rPr>
        <w:t>, normal</w:t>
      </w:r>
    </w:p>
    <w:p w14:paraId="164E75F4" w14:textId="77777777" w:rsidR="008F6416" w:rsidRDefault="008F6416" w:rsidP="008F6416"/>
    <w:p w14:paraId="5B0FC557" w14:textId="0B25CB40" w:rsidR="00D41804" w:rsidRPr="00D41804" w:rsidRDefault="00132BBA" w:rsidP="00140686">
      <w:pPr>
        <w:pStyle w:val="Heading1"/>
      </w:pPr>
      <w:r>
        <w:rPr>
          <w:caps w:val="0"/>
        </w:rPr>
        <w:t>TÍTULO DA QUARTA SECÇÃO - REFERÊNCIAS</w:t>
      </w:r>
    </w:p>
    <w:p w14:paraId="07128130" w14:textId="77777777" w:rsidR="00356B4C" w:rsidRDefault="00AE4AE3" w:rsidP="00E40AFF">
      <w:r>
        <w:t>As referências bibliográficas citadas ao longo do texto devem ser feitas com indicação do último nome do autor (sem iniciais)</w:t>
      </w:r>
      <w:r w:rsidR="00847895">
        <w:t>,</w:t>
      </w:r>
      <w:r>
        <w:t xml:space="preserve"> seguido do ano da publicação entre parêntesis, </w:t>
      </w:r>
      <w:r w:rsidR="00546820">
        <w:t xml:space="preserve">como </w:t>
      </w:r>
      <w:r>
        <w:t xml:space="preserve">por exemplo: </w:t>
      </w:r>
      <w:r w:rsidR="00356B4C">
        <w:t>Hall (2003)</w:t>
      </w:r>
      <w:r w:rsidR="00546820">
        <w:t xml:space="preserve">, </w:t>
      </w:r>
      <w:r w:rsidR="00546820" w:rsidRPr="009E3441">
        <w:t>ASTM D</w:t>
      </w:r>
      <w:r w:rsidR="00546820">
        <w:t xml:space="preserve"> </w:t>
      </w:r>
      <w:r w:rsidR="00546820" w:rsidRPr="009E3441">
        <w:t>4254-00 (2000)</w:t>
      </w:r>
      <w:r w:rsidR="00546820">
        <w:t xml:space="preserve"> e </w:t>
      </w:r>
      <w:r w:rsidR="00546820" w:rsidRPr="007A3D72">
        <w:t>ENV ISO 10722-1 (1997)</w:t>
      </w:r>
      <w:r w:rsidR="00356B4C">
        <w:t xml:space="preserve">. No caso de </w:t>
      </w:r>
      <w:r w:rsidR="00847895">
        <w:t>dois autores deverão ser citados da seguinte forma</w:t>
      </w:r>
      <w:r w:rsidR="00356B4C">
        <w:t xml:space="preserve">: </w:t>
      </w:r>
      <w:proofErr w:type="spellStart"/>
      <w:r w:rsidR="00356B4C">
        <w:t>Klosinsky</w:t>
      </w:r>
      <w:proofErr w:type="spellEnd"/>
      <w:r w:rsidR="00356B4C">
        <w:t xml:space="preserve"> e </w:t>
      </w:r>
      <w:proofErr w:type="spellStart"/>
      <w:r w:rsidR="00356B4C">
        <w:t>Rafalski</w:t>
      </w:r>
      <w:proofErr w:type="spellEnd"/>
      <w:r w:rsidR="00356B4C">
        <w:t xml:space="preserve"> </w:t>
      </w:r>
      <w:r w:rsidR="00356B4C" w:rsidRPr="00356B4C">
        <w:t>(1994)</w:t>
      </w:r>
      <w:r w:rsidR="00356B4C">
        <w:t xml:space="preserve">. Para mais de dois autores: </w:t>
      </w:r>
      <w:proofErr w:type="spellStart"/>
      <w:r w:rsidR="00356B4C">
        <w:t>Whittle</w:t>
      </w:r>
      <w:proofErr w:type="spellEnd"/>
      <w:r w:rsidR="00356B4C">
        <w:t xml:space="preserve"> </w:t>
      </w:r>
      <w:proofErr w:type="spellStart"/>
      <w:r w:rsidR="00356B4C">
        <w:t>et</w:t>
      </w:r>
      <w:proofErr w:type="spellEnd"/>
      <w:r w:rsidR="00356B4C">
        <w:t xml:space="preserve"> al. </w:t>
      </w:r>
      <w:r w:rsidR="00356B4C" w:rsidRPr="00356B4C">
        <w:t>(1994)</w:t>
      </w:r>
      <w:r w:rsidR="00356B4C">
        <w:t>.</w:t>
      </w:r>
      <w:r w:rsidR="0066320D">
        <w:t xml:space="preserve"> </w:t>
      </w:r>
      <w:r w:rsidR="00847895">
        <w:t xml:space="preserve">Para a situação de ocorrer </w:t>
      </w:r>
      <w:r w:rsidR="00356B4C">
        <w:t>mais de uma referência relativa ao(s) mesmo(s) autor(s)</w:t>
      </w:r>
      <w:r w:rsidR="00546820">
        <w:t xml:space="preserve"> e d</w:t>
      </w:r>
      <w:r w:rsidR="00356B4C">
        <w:t>o mesmo ano, devem ser usados sufixos a), b), etc.</w:t>
      </w:r>
    </w:p>
    <w:p w14:paraId="6BF2B519" w14:textId="77777777" w:rsidR="00373E7D" w:rsidRDefault="00356B4C" w:rsidP="0066320D">
      <w:r>
        <w:t xml:space="preserve">Todas as referências chamadas ao longo do texto deverão ser listadas no final do trabalho, por ordem alfabética, na secção </w:t>
      </w:r>
      <w:r w:rsidR="0040116C">
        <w:t>das referências bibliográficas.</w:t>
      </w:r>
      <w:r w:rsidR="003313DC">
        <w:t xml:space="preserve"> Todas as referências devem incluir apelido do(s) autor(</w:t>
      </w:r>
      <w:proofErr w:type="spellStart"/>
      <w:r w:rsidR="003313DC">
        <w:t>es</w:t>
      </w:r>
      <w:proofErr w:type="spellEnd"/>
      <w:r w:rsidR="003313DC">
        <w:t>), iniciais do nome próprio, ano de publicação, título, publicação, editor, e se for o caso, número do volume e das páginas da publicação.</w:t>
      </w:r>
    </w:p>
    <w:p w14:paraId="591A75CB" w14:textId="5F4D04C8" w:rsidR="00E455E2" w:rsidRDefault="00132BBA" w:rsidP="00140686">
      <w:pPr>
        <w:pStyle w:val="Heading1"/>
      </w:pPr>
      <w:r>
        <w:rPr>
          <w:caps w:val="0"/>
        </w:rPr>
        <w:t>CONSIDERAÇÕES FINAIS</w:t>
      </w:r>
    </w:p>
    <w:p w14:paraId="6725D45F" w14:textId="77777777" w:rsidR="00E455E2" w:rsidRDefault="00E455E2" w:rsidP="00E455E2"/>
    <w:p w14:paraId="3151225F" w14:textId="0312079C" w:rsidR="00341E97" w:rsidRDefault="00132BBA" w:rsidP="00140686">
      <w:pPr>
        <w:pStyle w:val="Heading1"/>
      </w:pPr>
      <w:r>
        <w:rPr>
          <w:caps w:val="0"/>
        </w:rPr>
        <w:t>AGRADECIMENTOS</w:t>
      </w:r>
    </w:p>
    <w:p w14:paraId="10A05288" w14:textId="77777777" w:rsidR="009826E4" w:rsidRPr="009826E4" w:rsidRDefault="00546820" w:rsidP="009826E4">
      <w:r>
        <w:t>Quando existentes deverão</w:t>
      </w:r>
      <w:r w:rsidR="003313DC">
        <w:t xml:space="preserve"> ser escritos antes da secção das</w:t>
      </w:r>
      <w:r>
        <w:t xml:space="preserve"> referências bibliográficas.</w:t>
      </w:r>
    </w:p>
    <w:p w14:paraId="718AF1D6" w14:textId="64E7A7AA" w:rsidR="00E455E2" w:rsidRDefault="00132BBA" w:rsidP="00140686">
      <w:pPr>
        <w:pStyle w:val="Heading1"/>
      </w:pPr>
      <w:r>
        <w:rPr>
          <w:caps w:val="0"/>
        </w:rPr>
        <w:t>REFERÊNCIAS BIBLIOGRÁFICAS – ESCRITAS POR ORDEM ALFABÉTICA</w:t>
      </w:r>
    </w:p>
    <w:p w14:paraId="7C54C28C" w14:textId="08B3FE25" w:rsidR="00EE4979" w:rsidRDefault="00EE4979" w:rsidP="00EE4979">
      <w:pPr>
        <w:spacing w:before="120"/>
        <w:ind w:left="414" w:hanging="414"/>
      </w:pPr>
      <w:r>
        <w:t xml:space="preserve">ABNT (1984). NBR 6459 – </w:t>
      </w:r>
      <w:r w:rsidRPr="001F1A67">
        <w:rPr>
          <w:i/>
        </w:rPr>
        <w:t>Solo – Determinação do Limite de Liquidez. Método de Ensaio</w:t>
      </w:r>
      <w:r w:rsidR="009A7921">
        <w:t>.</w:t>
      </w:r>
      <w:r>
        <w:t xml:space="preserve"> Associação Brasileira de Normas Técnicas, Rio de Janeiro, RJ, Brasil, 6 p.</w:t>
      </w:r>
    </w:p>
    <w:p w14:paraId="7A6C950D" w14:textId="56D061E3" w:rsidR="000D57D7" w:rsidRDefault="000D57D7" w:rsidP="00AE4AE3">
      <w:pPr>
        <w:pStyle w:val="Bibliografia"/>
      </w:pPr>
      <w:r w:rsidRPr="000412BB">
        <w:lastRenderedPageBreak/>
        <w:t>ASTM</w:t>
      </w:r>
      <w:r w:rsidR="000412BB" w:rsidRPr="000412BB">
        <w:t xml:space="preserve"> D</w:t>
      </w:r>
      <w:r w:rsidR="000412BB">
        <w:t xml:space="preserve"> </w:t>
      </w:r>
      <w:r w:rsidR="000412BB" w:rsidRPr="000412BB">
        <w:t>4254-00 (2000</w:t>
      </w:r>
      <w:r w:rsidRPr="000412BB">
        <w:t xml:space="preserve">). </w:t>
      </w:r>
      <w:r w:rsidRPr="00356B4C">
        <w:rPr>
          <w:i/>
        </w:rPr>
        <w:t>Standard test method</w:t>
      </w:r>
      <w:r w:rsidR="000412BB" w:rsidRPr="00356B4C">
        <w:rPr>
          <w:i/>
        </w:rPr>
        <w:t>s</w:t>
      </w:r>
      <w:r w:rsidRPr="00356B4C">
        <w:rPr>
          <w:i/>
        </w:rPr>
        <w:t xml:space="preserve"> for minimum </w:t>
      </w:r>
      <w:r w:rsidR="000412BB" w:rsidRPr="00356B4C">
        <w:rPr>
          <w:i/>
        </w:rPr>
        <w:t>i</w:t>
      </w:r>
      <w:r w:rsidRPr="00356B4C">
        <w:rPr>
          <w:i/>
        </w:rPr>
        <w:t>ndex density and unit weight of soils and calculation of relative density</w:t>
      </w:r>
      <w:r w:rsidRPr="000D57D7">
        <w:t xml:space="preserve">. </w:t>
      </w:r>
      <w:r>
        <w:t>Annual Book of ASTM Standards</w:t>
      </w:r>
      <w:r w:rsidR="000412BB">
        <w:t xml:space="preserve"> 2001</w:t>
      </w:r>
      <w:r w:rsidR="00F752BE">
        <w:t xml:space="preserve">, </w:t>
      </w:r>
      <w:r w:rsidR="005563AF">
        <w:t>vol.</w:t>
      </w:r>
      <w:r w:rsidR="000412BB">
        <w:t xml:space="preserve"> 04.08, pp. 552-560</w:t>
      </w:r>
      <w:r w:rsidR="00F752BE">
        <w:t>.</w:t>
      </w:r>
    </w:p>
    <w:p w14:paraId="329F0CBC" w14:textId="77777777" w:rsidR="00F752BE" w:rsidRDefault="000412BB" w:rsidP="00AE4AE3">
      <w:pPr>
        <w:pStyle w:val="Bibliografia"/>
      </w:pPr>
      <w:r>
        <w:t>ENV ISO 10722-1</w:t>
      </w:r>
      <w:r w:rsidR="00F752BE">
        <w:t xml:space="preserve"> (1997). </w:t>
      </w:r>
      <w:r w:rsidR="00F752BE" w:rsidRPr="00356B4C">
        <w:rPr>
          <w:i/>
        </w:rPr>
        <w:t>Geotextiles and geotextile-related products – Procedure for simulating damage during installation – Part 1: Installation in granular materials</w:t>
      </w:r>
      <w:r w:rsidR="00F752BE">
        <w:t xml:space="preserve">. CEN, </w:t>
      </w:r>
      <w:smartTag w:uri="urn:schemas-microsoft-com:office:smarttags" w:element="place">
        <w:smartTag w:uri="urn:schemas-microsoft-com:office:smarttags" w:element="City">
          <w:r w:rsidR="00F752BE">
            <w:t>Brussels</w:t>
          </w:r>
        </w:smartTag>
        <w:r w:rsidR="00F752BE">
          <w:t xml:space="preserve">, </w:t>
        </w:r>
        <w:smartTag w:uri="urn:schemas-microsoft-com:office:smarttags" w:element="country-region">
          <w:r w:rsidR="00F752BE">
            <w:t>Belgium</w:t>
          </w:r>
        </w:smartTag>
      </w:smartTag>
      <w:r w:rsidR="00F752BE">
        <w:t>.</w:t>
      </w:r>
    </w:p>
    <w:p w14:paraId="13F124DC" w14:textId="06439741" w:rsidR="007B36FB" w:rsidRDefault="00356B4C" w:rsidP="005671DD">
      <w:pPr>
        <w:spacing w:before="120"/>
        <w:ind w:left="414" w:hanging="414"/>
        <w:rPr>
          <w:lang w:val="en-GB"/>
        </w:rPr>
      </w:pPr>
      <w:r w:rsidRPr="00B77919">
        <w:rPr>
          <w:lang w:val="en-GB"/>
        </w:rPr>
        <w:t>Hall</w:t>
      </w:r>
      <w:r>
        <w:rPr>
          <w:lang w:val="en-GB"/>
        </w:rPr>
        <w:t>, L.</w:t>
      </w:r>
      <w:r w:rsidRPr="00B77919">
        <w:rPr>
          <w:lang w:val="en-GB"/>
        </w:rPr>
        <w:t xml:space="preserve"> (2003)</w:t>
      </w:r>
      <w:r>
        <w:rPr>
          <w:lang w:val="en-GB"/>
        </w:rPr>
        <w:t>.</w:t>
      </w:r>
      <w:r w:rsidRPr="00B77919">
        <w:rPr>
          <w:lang w:val="en-GB"/>
        </w:rPr>
        <w:t xml:space="preserve"> </w:t>
      </w:r>
      <w:r w:rsidRPr="00B77919">
        <w:rPr>
          <w:i/>
          <w:iCs/>
          <w:lang w:val="en-GB"/>
        </w:rPr>
        <w:t>Simulations and analyses of train-induced ground vibrations in finite element models</w:t>
      </w:r>
      <w:r w:rsidRPr="00B77919">
        <w:rPr>
          <w:lang w:val="en-GB"/>
        </w:rPr>
        <w:t>. Soil Dynamics and Earthquake Engineering</w:t>
      </w:r>
      <w:r>
        <w:rPr>
          <w:lang w:val="en-GB"/>
        </w:rPr>
        <w:t>, 23</w:t>
      </w:r>
      <w:r w:rsidR="00672C77">
        <w:rPr>
          <w:lang w:val="en-GB"/>
        </w:rPr>
        <w:t xml:space="preserve"> (5)</w:t>
      </w:r>
      <w:r>
        <w:rPr>
          <w:lang w:val="en-GB"/>
        </w:rPr>
        <w:t>,</w:t>
      </w:r>
      <w:r w:rsidRPr="00B77919">
        <w:rPr>
          <w:lang w:val="en-GB"/>
        </w:rPr>
        <w:t xml:space="preserve"> </w:t>
      </w:r>
      <w:r w:rsidR="003222A0">
        <w:rPr>
          <w:lang w:val="en-GB"/>
        </w:rPr>
        <w:t xml:space="preserve">pp. </w:t>
      </w:r>
      <w:r w:rsidRPr="00B77919">
        <w:rPr>
          <w:lang w:val="en-GB"/>
        </w:rPr>
        <w:t>403-413</w:t>
      </w:r>
      <w:r>
        <w:rPr>
          <w:lang w:val="en-GB"/>
        </w:rPr>
        <w:t>.</w:t>
      </w:r>
      <w:r w:rsidR="00B028F9">
        <w:rPr>
          <w:lang w:val="en-GB"/>
        </w:rPr>
        <w:t xml:space="preserve"> </w:t>
      </w:r>
      <w:hyperlink r:id="rId9" w:history="1">
        <w:r w:rsidR="007B36FB" w:rsidRPr="001F4DA1">
          <w:rPr>
            <w:rStyle w:val="Hyperlink"/>
            <w:lang w:val="en-GB"/>
          </w:rPr>
          <w:t>https://doi.org/10.1016/S0267-7261(02)00209-9</w:t>
        </w:r>
      </w:hyperlink>
    </w:p>
    <w:p w14:paraId="2ADF5553" w14:textId="7235C5C6" w:rsidR="004842A4" w:rsidRPr="00D64C51" w:rsidRDefault="004842A4" w:rsidP="007B36FB">
      <w:pPr>
        <w:spacing w:before="120"/>
        <w:ind w:left="414" w:hanging="414"/>
        <w:jc w:val="left"/>
        <w:rPr>
          <w:lang w:val="en-GB"/>
        </w:rPr>
      </w:pPr>
      <w:proofErr w:type="spellStart"/>
      <w:r>
        <w:rPr>
          <w:lang w:val="en-GB"/>
        </w:rPr>
        <w:t>Klosinsky</w:t>
      </w:r>
      <w:proofErr w:type="spellEnd"/>
      <w:r>
        <w:rPr>
          <w:lang w:val="en-GB"/>
        </w:rPr>
        <w:t xml:space="preserve">, B.; </w:t>
      </w:r>
      <w:proofErr w:type="spellStart"/>
      <w:r>
        <w:rPr>
          <w:lang w:val="en-GB"/>
        </w:rPr>
        <w:t>Rafalski</w:t>
      </w:r>
      <w:proofErr w:type="spellEnd"/>
      <w:r>
        <w:rPr>
          <w:lang w:val="en-GB"/>
        </w:rPr>
        <w:t xml:space="preserve">, L. (1994). </w:t>
      </w:r>
      <w:r w:rsidRPr="00D64C51">
        <w:rPr>
          <w:i/>
          <w:lang w:val="en-GB"/>
        </w:rPr>
        <w:t xml:space="preserve">Bearing capacity of steel piles </w:t>
      </w:r>
      <w:r w:rsidR="00D64C51" w:rsidRPr="00D64C51">
        <w:rPr>
          <w:i/>
          <w:lang w:val="en-GB"/>
        </w:rPr>
        <w:t>embed</w:t>
      </w:r>
      <w:r w:rsidRPr="00D64C51">
        <w:rPr>
          <w:i/>
          <w:lang w:val="en-GB"/>
        </w:rPr>
        <w:t>ded in hardening slurry</w:t>
      </w:r>
      <w:r w:rsidR="00D64C51">
        <w:rPr>
          <w:lang w:val="en-GB"/>
        </w:rPr>
        <w:t>. Proceedings of 13</w:t>
      </w:r>
      <w:r w:rsidR="00D64C51">
        <w:rPr>
          <w:vertAlign w:val="superscript"/>
          <w:lang w:val="en-GB"/>
        </w:rPr>
        <w:t>th</w:t>
      </w:r>
      <w:r w:rsidR="00D64C51">
        <w:rPr>
          <w:lang w:val="en-GB"/>
        </w:rPr>
        <w:t xml:space="preserve"> International Conference of Soil Mechanics and Foundation Engineering, vol. 2, pp</w:t>
      </w:r>
      <w:r w:rsidR="00D95F0A">
        <w:rPr>
          <w:lang w:val="en-GB"/>
        </w:rPr>
        <w:t>.</w:t>
      </w:r>
      <w:r w:rsidR="00D64C51">
        <w:rPr>
          <w:lang w:val="en-GB"/>
        </w:rPr>
        <w:t xml:space="preserve"> 915-918, New Deli.</w:t>
      </w:r>
    </w:p>
    <w:p w14:paraId="63DD115E" w14:textId="43A367D8" w:rsidR="00CE6E93" w:rsidRPr="00D64C51" w:rsidRDefault="007A3D72" w:rsidP="00CE6E93">
      <w:pPr>
        <w:spacing w:before="120"/>
        <w:ind w:left="414" w:hanging="414"/>
        <w:rPr>
          <w:lang w:val="en-GB"/>
        </w:rPr>
      </w:pPr>
      <w:r w:rsidRPr="004842A4">
        <w:rPr>
          <w:lang w:val="en-GB"/>
        </w:rPr>
        <w:t>Whittle, A. J.</w:t>
      </w:r>
      <w:r w:rsidR="00D407C2">
        <w:rPr>
          <w:lang w:val="en-GB"/>
        </w:rPr>
        <w:t xml:space="preserve">; </w:t>
      </w:r>
      <w:proofErr w:type="spellStart"/>
      <w:r w:rsidR="00D407C2">
        <w:rPr>
          <w:lang w:val="en-GB"/>
        </w:rPr>
        <w:t>Degroot</w:t>
      </w:r>
      <w:proofErr w:type="spellEnd"/>
      <w:r w:rsidR="00D407C2">
        <w:rPr>
          <w:lang w:val="en-GB"/>
        </w:rPr>
        <w:t>, Don J.; Ladd, C.</w:t>
      </w:r>
      <w:r w:rsidRPr="004842A4">
        <w:rPr>
          <w:lang w:val="en-GB"/>
        </w:rPr>
        <w:t xml:space="preserve"> C. (1994). </w:t>
      </w:r>
      <w:r w:rsidRPr="004842A4">
        <w:rPr>
          <w:i/>
          <w:lang w:val="en-GB"/>
        </w:rPr>
        <w:t xml:space="preserve">Model prediction of anisotropic </w:t>
      </w:r>
      <w:r w:rsidR="004B4946" w:rsidRPr="004842A4">
        <w:rPr>
          <w:i/>
          <w:lang w:val="en-GB"/>
        </w:rPr>
        <w:t>behaviour</w:t>
      </w:r>
      <w:r w:rsidRPr="004842A4">
        <w:rPr>
          <w:i/>
          <w:lang w:val="en-GB"/>
        </w:rPr>
        <w:t xml:space="preserve"> of Boston Blue Clay</w:t>
      </w:r>
      <w:r w:rsidRPr="004842A4">
        <w:rPr>
          <w:lang w:val="en-GB"/>
        </w:rPr>
        <w:t xml:space="preserve">. Journal of Geotechnical Engineering, 120 </w:t>
      </w:r>
      <w:r w:rsidR="0062710D">
        <w:rPr>
          <w:lang w:val="en-GB"/>
        </w:rPr>
        <w:t>(</w:t>
      </w:r>
      <w:r w:rsidRPr="004842A4">
        <w:rPr>
          <w:lang w:val="en-GB"/>
        </w:rPr>
        <w:t>1</w:t>
      </w:r>
      <w:r w:rsidR="0062710D">
        <w:rPr>
          <w:lang w:val="en-GB"/>
        </w:rPr>
        <w:t>)</w:t>
      </w:r>
      <w:r w:rsidRPr="004842A4">
        <w:rPr>
          <w:lang w:val="en-GB"/>
        </w:rPr>
        <w:t>, pp. 199-224.</w:t>
      </w:r>
      <w:r w:rsidR="00CE6E93">
        <w:rPr>
          <w:lang w:val="en-GB"/>
        </w:rPr>
        <w:br/>
      </w:r>
      <w:hyperlink r:id="rId10" w:history="1">
        <w:r w:rsidR="00CE6E93" w:rsidRPr="001F4DA1">
          <w:rPr>
            <w:rStyle w:val="Hyperlink"/>
          </w:rPr>
          <w:t>https://doi.org/10.1061/(ASCE)0733-9410(1994)120:1(199)</w:t>
        </w:r>
      </w:hyperlink>
    </w:p>
    <w:p w14:paraId="28537AF8" w14:textId="77777777" w:rsidR="007A3D72" w:rsidRPr="004842A4" w:rsidRDefault="00645D92" w:rsidP="003371B5">
      <w:pPr>
        <w:spacing w:before="120"/>
        <w:ind w:left="414" w:hanging="414"/>
        <w:rPr>
          <w:lang w:val="en-GB"/>
        </w:rPr>
      </w:pPr>
      <w:proofErr w:type="spellStart"/>
      <w:r>
        <w:rPr>
          <w:lang w:val="en-GB"/>
        </w:rPr>
        <w:t>Zienkiewicz</w:t>
      </w:r>
      <w:proofErr w:type="spellEnd"/>
      <w:r w:rsidR="007A3D72" w:rsidRPr="004842A4">
        <w:rPr>
          <w:lang w:val="en-GB"/>
        </w:rPr>
        <w:t xml:space="preserve">, O. C. (1977). </w:t>
      </w:r>
      <w:r w:rsidR="007A3D72" w:rsidRPr="004842A4">
        <w:rPr>
          <w:i/>
          <w:lang w:val="en-GB"/>
        </w:rPr>
        <w:t>The finite element method</w:t>
      </w:r>
      <w:r w:rsidR="007A3D72" w:rsidRPr="004842A4">
        <w:rPr>
          <w:lang w:val="en-GB"/>
        </w:rPr>
        <w:t xml:space="preserve">. 3ª </w:t>
      </w:r>
      <w:proofErr w:type="spellStart"/>
      <w:r w:rsidR="007A3D72" w:rsidRPr="004842A4">
        <w:rPr>
          <w:lang w:val="en-GB"/>
        </w:rPr>
        <w:t>edição</w:t>
      </w:r>
      <w:proofErr w:type="spellEnd"/>
      <w:r w:rsidR="007A3D72" w:rsidRPr="004842A4">
        <w:rPr>
          <w:lang w:val="en-GB"/>
        </w:rPr>
        <w:t>, Mc</w:t>
      </w:r>
      <w:r w:rsidR="00B10514">
        <w:rPr>
          <w:lang w:val="en-GB"/>
        </w:rPr>
        <w:t>G</w:t>
      </w:r>
      <w:r w:rsidR="007A3D72" w:rsidRPr="004842A4">
        <w:rPr>
          <w:lang w:val="en-GB"/>
        </w:rPr>
        <w:t xml:space="preserve">raw-Hill Book Company </w:t>
      </w:r>
      <w:r w:rsidR="004842A4" w:rsidRPr="004842A4">
        <w:rPr>
          <w:lang w:val="en-GB"/>
        </w:rPr>
        <w:t xml:space="preserve">Limited </w:t>
      </w:r>
      <w:r w:rsidR="007A3D72" w:rsidRPr="004842A4">
        <w:rPr>
          <w:lang w:val="en-GB"/>
        </w:rPr>
        <w:t>(UK), England.</w:t>
      </w:r>
    </w:p>
    <w:sectPr w:rsidR="007A3D72" w:rsidRPr="004842A4" w:rsidSect="00127F01">
      <w:footerReference w:type="even" r:id="rId11"/>
      <w:footerReference w:type="default" r:id="rId12"/>
      <w:footerReference w:type="first" r:id="rId13"/>
      <w:pgSz w:w="11907" w:h="16840" w:code="9"/>
      <w:pgMar w:top="1134" w:right="2552" w:bottom="3969" w:left="1418" w:header="720" w:footer="3232" w:gutter="0"/>
      <w:paperSrc w:first="15" w:other="15"/>
      <w:pgNumType w:start="81"/>
      <w:cols w:space="720"/>
      <w:titlePg/>
      <w:docGrid w:linePitch="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CE9A" w14:textId="77777777" w:rsidR="00600992" w:rsidRDefault="00600992">
      <w:r>
        <w:separator/>
      </w:r>
    </w:p>
  </w:endnote>
  <w:endnote w:type="continuationSeparator" w:id="0">
    <w:p w14:paraId="508B610A" w14:textId="77777777" w:rsidR="00600992" w:rsidRDefault="006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DC0F" w14:textId="77777777" w:rsidR="00C21C26" w:rsidRPr="00374E76" w:rsidRDefault="00C21C26" w:rsidP="00374E76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CA47" w14:textId="77777777" w:rsidR="00C21C26" w:rsidRDefault="00C21C26">
    <w:pPr>
      <w:pStyle w:val="Footer"/>
      <w:tabs>
        <w:tab w:val="clear" w:pos="8306"/>
        <w:tab w:val="right" w:pos="7682"/>
      </w:tabs>
      <w:ind w:right="360" w:firstLine="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5920" w14:textId="3AB2C5A2" w:rsidR="00351EA8" w:rsidRDefault="00351EA8" w:rsidP="008A037D">
    <w:pPr>
      <w:pStyle w:val="FootnoteText1"/>
      <w:spacing w:before="120"/>
      <w:ind w:left="567" w:hanging="567"/>
      <w:jc w:val="left"/>
      <w:rPr>
        <w:color w:val="auto"/>
      </w:rPr>
    </w:pPr>
    <w:r>
      <w:rPr>
        <w:color w:val="auto"/>
      </w:rPr>
      <w:t>_____________________________________</w:t>
    </w:r>
  </w:p>
  <w:p w14:paraId="717E24DC" w14:textId="0243985F" w:rsidR="008A037D" w:rsidRPr="005D252F" w:rsidRDefault="008A037D" w:rsidP="008A037D">
    <w:pPr>
      <w:pStyle w:val="FootnoteText1"/>
      <w:spacing w:before="120"/>
      <w:ind w:left="567" w:hanging="567"/>
      <w:jc w:val="left"/>
      <w:rPr>
        <w:rStyle w:val="Hyperlink0"/>
        <w:color w:val="auto"/>
      </w:rPr>
    </w:pPr>
    <w:r w:rsidRPr="00E87AEA">
      <w:rPr>
        <w:color w:val="auto"/>
      </w:rPr>
      <w:t>E-mail</w:t>
    </w:r>
    <w:r>
      <w:rPr>
        <w:color w:val="auto"/>
      </w:rPr>
      <w:t>s</w:t>
    </w:r>
    <w:r w:rsidRPr="00351EA8">
      <w:rPr>
        <w:color w:val="auto"/>
      </w:rPr>
      <w:t xml:space="preserve">: </w:t>
    </w:r>
    <w:r w:rsidR="006612A3" w:rsidRPr="005D252F">
      <w:rPr>
        <w:rStyle w:val="Hyperlink0"/>
        <w:color w:val="auto"/>
        <w:u w:val="none"/>
      </w:rPr>
      <w:t>###</w:t>
    </w:r>
    <w:r w:rsidRPr="005D252F">
      <w:rPr>
        <w:rStyle w:val="Hyperlink0"/>
        <w:color w:val="auto"/>
        <w:u w:val="none"/>
      </w:rPr>
      <w:t>@</w:t>
    </w:r>
    <w:r w:rsidR="006612A3" w:rsidRPr="005D252F">
      <w:rPr>
        <w:rStyle w:val="Hyperlink0"/>
        <w:color w:val="auto"/>
        <w:u w:val="none"/>
      </w:rPr>
      <w:t>##</w:t>
    </w:r>
    <w:proofErr w:type="gramStart"/>
    <w:r w:rsidR="006612A3" w:rsidRPr="005D252F">
      <w:rPr>
        <w:rStyle w:val="Hyperlink0"/>
        <w:color w:val="auto"/>
        <w:u w:val="none"/>
      </w:rPr>
      <w:t>#</w:t>
    </w:r>
    <w:r w:rsidRPr="005D252F">
      <w:rPr>
        <w:rStyle w:val="Hyperlink0"/>
        <w:color w:val="auto"/>
        <w:u w:val="none"/>
      </w:rPr>
      <w:t>.</w:t>
    </w:r>
    <w:r w:rsidR="006612A3" w:rsidRPr="005D252F">
      <w:rPr>
        <w:rStyle w:val="Hyperlink0"/>
        <w:color w:val="auto"/>
        <w:u w:val="none"/>
      </w:rPr>
      <w:t>#</w:t>
    </w:r>
    <w:proofErr w:type="gramEnd"/>
    <w:r w:rsidR="006612A3" w:rsidRPr="005D252F">
      <w:rPr>
        <w:rStyle w:val="Hyperlink0"/>
        <w:color w:val="auto"/>
        <w:u w:val="none"/>
      </w:rPr>
      <w:t>#</w:t>
    </w:r>
    <w:r w:rsidRPr="005D252F">
      <w:rPr>
        <w:rStyle w:val="Hyperlink0"/>
        <w:color w:val="auto"/>
        <w:u w:val="none"/>
      </w:rPr>
      <w:t xml:space="preserve"> (</w:t>
    </w:r>
    <w:r w:rsidR="00811A90" w:rsidRPr="005D252F">
      <w:rPr>
        <w:rStyle w:val="Hyperlink0"/>
        <w:color w:val="auto"/>
        <w:u w:val="none"/>
      </w:rPr>
      <w:t>1º autor</w:t>
    </w:r>
    <w:r w:rsidRPr="005D252F">
      <w:rPr>
        <w:rStyle w:val="Hyperlink0"/>
        <w:color w:val="auto"/>
        <w:u w:val="none"/>
      </w:rPr>
      <w:t xml:space="preserve">), </w:t>
    </w:r>
    <w:r w:rsidR="006612A3" w:rsidRPr="005D252F">
      <w:rPr>
        <w:rStyle w:val="Hyperlink0"/>
        <w:color w:val="auto"/>
        <w:u w:val="none"/>
      </w:rPr>
      <w:t>###</w:t>
    </w:r>
    <w:r w:rsidRPr="005D252F">
      <w:rPr>
        <w:rStyle w:val="Hyperlink0"/>
        <w:color w:val="auto"/>
        <w:u w:val="none"/>
      </w:rPr>
      <w:t>@</w:t>
    </w:r>
    <w:r w:rsidR="006612A3" w:rsidRPr="005D252F">
      <w:rPr>
        <w:rStyle w:val="Hyperlink0"/>
        <w:color w:val="auto"/>
        <w:u w:val="none"/>
      </w:rPr>
      <w:t>###</w:t>
    </w:r>
    <w:r w:rsidRPr="005D252F">
      <w:rPr>
        <w:rStyle w:val="Hyperlink0"/>
        <w:color w:val="auto"/>
        <w:u w:val="none"/>
      </w:rPr>
      <w:t>.</w:t>
    </w:r>
    <w:r w:rsidR="006612A3" w:rsidRPr="005D252F">
      <w:rPr>
        <w:rStyle w:val="Hyperlink0"/>
        <w:color w:val="auto"/>
        <w:u w:val="none"/>
      </w:rPr>
      <w:t>##</w:t>
    </w:r>
    <w:r w:rsidRPr="005D252F">
      <w:rPr>
        <w:rStyle w:val="Hyperlink0"/>
        <w:color w:val="auto"/>
        <w:u w:val="none"/>
      </w:rPr>
      <w:t xml:space="preserve"> (</w:t>
    </w:r>
    <w:r w:rsidR="00811A90" w:rsidRPr="005D252F">
      <w:rPr>
        <w:rStyle w:val="Hyperlink0"/>
        <w:color w:val="auto"/>
        <w:u w:val="none"/>
      </w:rPr>
      <w:t>2º autor</w:t>
    </w:r>
    <w:r w:rsidRPr="005D252F">
      <w:rPr>
        <w:rStyle w:val="Hyperlink0"/>
        <w:color w:val="auto"/>
        <w:u w:val="none"/>
      </w:rPr>
      <w:t xml:space="preserve">), </w:t>
    </w:r>
    <w:r w:rsidR="006612A3" w:rsidRPr="005D252F">
      <w:rPr>
        <w:rStyle w:val="Hyperlink0"/>
        <w:color w:val="auto"/>
        <w:u w:val="none"/>
      </w:rPr>
      <w:t>###</w:t>
    </w:r>
    <w:r w:rsidRPr="005D252F">
      <w:rPr>
        <w:rStyle w:val="Hyperlink0"/>
        <w:color w:val="auto"/>
        <w:u w:val="none"/>
      </w:rPr>
      <w:t>@</w:t>
    </w:r>
    <w:r w:rsidR="006612A3" w:rsidRPr="005D252F">
      <w:rPr>
        <w:rStyle w:val="Hyperlink0"/>
        <w:color w:val="auto"/>
        <w:u w:val="none"/>
      </w:rPr>
      <w:t>###</w:t>
    </w:r>
    <w:r w:rsidRPr="005D252F">
      <w:rPr>
        <w:rStyle w:val="Hyperlink0"/>
        <w:color w:val="auto"/>
        <w:u w:val="none"/>
      </w:rPr>
      <w:t>.</w:t>
    </w:r>
    <w:r w:rsidR="006612A3" w:rsidRPr="005D252F">
      <w:rPr>
        <w:rStyle w:val="Hyperlink0"/>
        <w:color w:val="auto"/>
        <w:u w:val="none"/>
      </w:rPr>
      <w:t>##</w:t>
    </w:r>
    <w:r w:rsidRPr="005D252F">
      <w:rPr>
        <w:rStyle w:val="Hyperlink0"/>
        <w:color w:val="auto"/>
        <w:u w:val="none"/>
      </w:rPr>
      <w:t xml:space="preserve"> (</w:t>
    </w:r>
    <w:r w:rsidR="00811A90" w:rsidRPr="005D252F">
      <w:rPr>
        <w:rStyle w:val="Hyperlink0"/>
        <w:color w:val="auto"/>
        <w:u w:val="none"/>
      </w:rPr>
      <w:t>3º autor</w:t>
    </w:r>
    <w:r w:rsidRPr="005D252F">
      <w:rPr>
        <w:rStyle w:val="Hyperlink0"/>
        <w:color w:val="auto"/>
        <w:u w:val="none"/>
      </w:rPr>
      <w:t>)</w:t>
    </w:r>
    <w:r w:rsidR="00811A90" w:rsidRPr="005D252F">
      <w:rPr>
        <w:rStyle w:val="Hyperlink0"/>
        <w:color w:val="auto"/>
        <w:u w:val="none"/>
      </w:rPr>
      <w:t xml:space="preserve"> , ###@###.## (4º autor)</w:t>
    </w:r>
  </w:p>
  <w:p w14:paraId="58E6C1C8" w14:textId="6C6231EE" w:rsidR="006612A3" w:rsidRPr="00E87AEA" w:rsidRDefault="006B11F2" w:rsidP="008A037D">
    <w:pPr>
      <w:pStyle w:val="FootnoteText1"/>
      <w:spacing w:before="120"/>
      <w:ind w:left="567" w:hanging="567"/>
      <w:jc w:val="left"/>
      <w:rPr>
        <w:color w:val="auto"/>
      </w:rPr>
    </w:pPr>
    <w:r>
      <w:t xml:space="preserve">ORCID: </w:t>
    </w:r>
    <w:r w:rsidR="006612A3" w:rsidRPr="000A0B47">
      <w:t>orcid.org/0000-000</w:t>
    </w:r>
    <w:r w:rsidR="006612A3">
      <w:t>#-####</w:t>
    </w:r>
    <w:r w:rsidR="006612A3" w:rsidRPr="000A0B47">
      <w:t>-</w:t>
    </w:r>
    <w:r w:rsidR="006612A3">
      <w:t>####</w:t>
    </w:r>
    <w:r w:rsidR="009E6662">
      <w:t xml:space="preserve"> </w:t>
    </w:r>
    <w:r w:rsidR="009E6662" w:rsidRPr="005D252F">
      <w:rPr>
        <w:rStyle w:val="Hyperlink0"/>
        <w:color w:val="auto"/>
        <w:u w:val="none"/>
      </w:rPr>
      <w:t>(1º autor)</w:t>
    </w:r>
    <w:r w:rsidR="006612A3">
      <w:t xml:space="preserve">, </w:t>
    </w:r>
    <w:r w:rsidR="006612A3" w:rsidRPr="000A0B47">
      <w:t>orcid.org/0000-000</w:t>
    </w:r>
    <w:r w:rsidR="006612A3">
      <w:t>#-####</w:t>
    </w:r>
    <w:r w:rsidR="006612A3" w:rsidRPr="000A0B47">
      <w:t>-</w:t>
    </w:r>
    <w:r w:rsidR="006612A3">
      <w:t>####</w:t>
    </w:r>
    <w:r w:rsidR="009E6662">
      <w:t xml:space="preserve"> </w:t>
    </w:r>
    <w:r w:rsidR="009E6662" w:rsidRPr="005D252F">
      <w:rPr>
        <w:rStyle w:val="Hyperlink0"/>
        <w:color w:val="auto"/>
        <w:u w:val="none"/>
      </w:rPr>
      <w:t>(</w:t>
    </w:r>
    <w:r w:rsidR="009E6662">
      <w:rPr>
        <w:rStyle w:val="Hyperlink0"/>
        <w:color w:val="auto"/>
        <w:u w:val="none"/>
      </w:rPr>
      <w:t>2</w:t>
    </w:r>
    <w:r w:rsidR="009E6662" w:rsidRPr="005D252F">
      <w:rPr>
        <w:rStyle w:val="Hyperlink0"/>
        <w:color w:val="auto"/>
        <w:u w:val="none"/>
      </w:rPr>
      <w:t>º autor)</w:t>
    </w:r>
    <w:r w:rsidR="006612A3">
      <w:t xml:space="preserve">, </w:t>
    </w:r>
    <w:r w:rsidR="006612A3" w:rsidRPr="000A0B47">
      <w:t>orcid.org/0000-000</w:t>
    </w:r>
    <w:r w:rsidR="006612A3">
      <w:t>#-####</w:t>
    </w:r>
    <w:r w:rsidR="006612A3" w:rsidRPr="000A0B47">
      <w:t>-</w:t>
    </w:r>
    <w:r w:rsidR="006612A3">
      <w:t>####</w:t>
    </w:r>
    <w:r w:rsidR="009E6662">
      <w:t xml:space="preserve"> </w:t>
    </w:r>
    <w:r w:rsidR="009E6662" w:rsidRPr="005D252F">
      <w:rPr>
        <w:rStyle w:val="Hyperlink0"/>
        <w:color w:val="auto"/>
        <w:u w:val="none"/>
      </w:rPr>
      <w:t>(</w:t>
    </w:r>
    <w:r w:rsidR="009E6662">
      <w:rPr>
        <w:rStyle w:val="Hyperlink0"/>
        <w:color w:val="auto"/>
        <w:u w:val="none"/>
      </w:rPr>
      <w:t>3</w:t>
    </w:r>
    <w:r w:rsidR="009E6662" w:rsidRPr="005D252F">
      <w:rPr>
        <w:rStyle w:val="Hyperlink0"/>
        <w:color w:val="auto"/>
        <w:u w:val="none"/>
      </w:rPr>
      <w:t>º autor)</w:t>
    </w:r>
    <w:r w:rsidR="00FD4D55">
      <w:t xml:space="preserve">, </w:t>
    </w:r>
    <w:r w:rsidR="00FD4D55" w:rsidRPr="000A0B47">
      <w:t>orcid.org/0000-000</w:t>
    </w:r>
    <w:r w:rsidR="00FD4D55">
      <w:t>#-####</w:t>
    </w:r>
    <w:r w:rsidR="00FD4D55" w:rsidRPr="000A0B47">
      <w:t>-</w:t>
    </w:r>
    <w:r w:rsidR="00FD4D55">
      <w:t>####</w:t>
    </w:r>
    <w:r w:rsidR="009E6662">
      <w:t xml:space="preserve"> </w:t>
    </w:r>
    <w:r w:rsidR="009E6662" w:rsidRPr="005D252F">
      <w:rPr>
        <w:rStyle w:val="Hyperlink0"/>
        <w:color w:val="auto"/>
        <w:u w:val="none"/>
      </w:rPr>
      <w:t>(</w:t>
    </w:r>
    <w:r w:rsidR="009E6662">
      <w:rPr>
        <w:rStyle w:val="Hyperlink0"/>
        <w:color w:val="auto"/>
        <w:u w:val="none"/>
      </w:rPr>
      <w:t>4</w:t>
    </w:r>
    <w:r w:rsidR="009E6662" w:rsidRPr="005D252F">
      <w:rPr>
        <w:rStyle w:val="Hyperlink0"/>
        <w:color w:val="auto"/>
        <w:u w:val="none"/>
      </w:rPr>
      <w:t>º autor)</w:t>
    </w:r>
    <w:r w:rsidR="006612A3">
      <w:t xml:space="preserve"> </w:t>
    </w:r>
  </w:p>
  <w:p w14:paraId="0F58F3ED" w14:textId="30FEA620" w:rsidR="008A037D" w:rsidRPr="00E83BAA" w:rsidRDefault="00FB3504" w:rsidP="008A037D">
    <w:pPr>
      <w:pStyle w:val="Footer1"/>
      <w:tabs>
        <w:tab w:val="clear" w:pos="8306"/>
        <w:tab w:val="right" w:pos="7910"/>
      </w:tabs>
      <w:spacing w:before="480"/>
      <w:ind w:firstLine="0"/>
      <w:rPr>
        <w:sz w:val="18"/>
        <w:szCs w:val="18"/>
        <w:lang w:val="pt-PT"/>
      </w:rPr>
    </w:pPr>
    <w:r w:rsidRPr="00E83BAA">
      <w:rPr>
        <w:sz w:val="18"/>
        <w:szCs w:val="18"/>
        <w:lang w:val="pt-PT"/>
      </w:rPr>
      <w:t xml:space="preserve">ISSN 0379-9522; e-ISSN 2184-8394 – Geotecnia nº </w:t>
    </w:r>
    <w:r w:rsidR="00C662E4" w:rsidRPr="00E83BAA">
      <w:rPr>
        <w:sz w:val="18"/>
        <w:szCs w:val="18"/>
        <w:lang w:val="pt-PT"/>
      </w:rPr>
      <w:t>###</w:t>
    </w:r>
    <w:r w:rsidRPr="00E83BAA">
      <w:rPr>
        <w:sz w:val="18"/>
        <w:szCs w:val="18"/>
        <w:lang w:val="pt-PT"/>
      </w:rPr>
      <w:t xml:space="preserve"> – </w:t>
    </w:r>
    <w:r w:rsidR="00C662E4" w:rsidRPr="00E83BAA">
      <w:rPr>
        <w:sz w:val="18"/>
        <w:szCs w:val="18"/>
        <w:lang w:val="pt-PT"/>
      </w:rPr>
      <w:t>março</w:t>
    </w:r>
    <w:r w:rsidRPr="00E83BAA">
      <w:rPr>
        <w:sz w:val="18"/>
        <w:szCs w:val="18"/>
        <w:lang w:val="pt-PT"/>
      </w:rPr>
      <w:t>/</w:t>
    </w:r>
    <w:proofErr w:type="spellStart"/>
    <w:r w:rsidR="00C662E4" w:rsidRPr="00E83BAA">
      <w:rPr>
        <w:sz w:val="18"/>
        <w:szCs w:val="18"/>
        <w:lang w:val="pt-PT"/>
      </w:rPr>
      <w:t>marzo</w:t>
    </w:r>
    <w:proofErr w:type="spellEnd"/>
    <w:r w:rsidRPr="00E83BAA">
      <w:rPr>
        <w:sz w:val="18"/>
        <w:szCs w:val="18"/>
        <w:lang w:val="pt-PT"/>
      </w:rPr>
      <w:t>/</w:t>
    </w:r>
    <w:proofErr w:type="spellStart"/>
    <w:r w:rsidR="00C662E4" w:rsidRPr="00E83BAA">
      <w:rPr>
        <w:sz w:val="18"/>
        <w:szCs w:val="18"/>
        <w:lang w:val="pt-PT"/>
      </w:rPr>
      <w:t>march</w:t>
    </w:r>
    <w:proofErr w:type="spellEnd"/>
    <w:r w:rsidRPr="00E83BAA">
      <w:rPr>
        <w:sz w:val="18"/>
        <w:szCs w:val="18"/>
        <w:lang w:val="pt-PT"/>
      </w:rPr>
      <w:t xml:space="preserve"> 20</w:t>
    </w:r>
    <w:r w:rsidR="0043585C">
      <w:rPr>
        <w:sz w:val="18"/>
        <w:szCs w:val="18"/>
        <w:lang w:val="pt-PT"/>
      </w:rPr>
      <w:t>##</w:t>
    </w:r>
    <w:r w:rsidRPr="00E83BAA">
      <w:rPr>
        <w:sz w:val="18"/>
        <w:szCs w:val="18"/>
        <w:lang w:val="pt-PT"/>
      </w:rPr>
      <w:t xml:space="preserve"> – pp. ## - ##</w:t>
    </w:r>
    <w:r w:rsidRPr="00E83BAA">
      <w:rPr>
        <w:sz w:val="18"/>
        <w:szCs w:val="18"/>
        <w:lang w:val="pt-PT"/>
      </w:rPr>
      <w:tab/>
    </w:r>
    <w:r w:rsidRPr="0019571C">
      <w:rPr>
        <w:lang w:val="pt-PT"/>
      </w:rPr>
      <w:t>#</w:t>
    </w:r>
    <w:r w:rsidRPr="00E83BAA">
      <w:rPr>
        <w:sz w:val="18"/>
        <w:szCs w:val="18"/>
        <w:lang w:val="pt-PT"/>
      </w:rPr>
      <w:br/>
      <w:t>https://doi.org/10.14195/2184-8394_</w:t>
    </w:r>
    <w:r w:rsidR="00C662E4" w:rsidRPr="00E83BAA">
      <w:rPr>
        <w:sz w:val="18"/>
        <w:szCs w:val="18"/>
        <w:lang w:val="pt-PT"/>
      </w:rPr>
      <w:t>###</w:t>
    </w:r>
    <w:r w:rsidRPr="00E83BAA">
      <w:rPr>
        <w:sz w:val="18"/>
        <w:szCs w:val="18"/>
        <w:lang w:val="pt-PT"/>
      </w:rPr>
      <w:t>_# – © 20</w:t>
    </w:r>
    <w:r w:rsidR="0043585C">
      <w:rPr>
        <w:sz w:val="18"/>
        <w:szCs w:val="18"/>
        <w:lang w:val="pt-PT"/>
      </w:rPr>
      <w:t>##</w:t>
    </w:r>
    <w:r w:rsidRPr="00E83BAA">
      <w:rPr>
        <w:sz w:val="18"/>
        <w:szCs w:val="18"/>
        <w:lang w:val="pt-PT"/>
      </w:rPr>
      <w:t xml:space="preserve"> Sociedade Portuguesa de Geotecnia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7E50" w14:textId="77777777" w:rsidR="00600992" w:rsidRDefault="00600992" w:rsidP="007659CF">
      <w:pPr>
        <w:ind w:firstLine="0"/>
      </w:pPr>
      <w:r>
        <w:separator/>
      </w:r>
    </w:p>
  </w:footnote>
  <w:footnote w:type="continuationSeparator" w:id="0">
    <w:p w14:paraId="58E25384" w14:textId="77777777" w:rsidR="00600992" w:rsidRDefault="0060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53FB"/>
    <w:multiLevelType w:val="multilevel"/>
    <w:tmpl w:val="8E420CCC"/>
    <w:lvl w:ilvl="0">
      <w:start w:val="1"/>
      <w:numFmt w:val="decimal"/>
      <w:pStyle w:val="Tit1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 w15:restartNumberingAfterBreak="0">
    <w:nsid w:val="27437EEC"/>
    <w:multiLevelType w:val="multilevel"/>
    <w:tmpl w:val="33ACBF3C"/>
    <w:lvl w:ilvl="0">
      <w:start w:val="1"/>
      <w:numFmt w:val="decimal"/>
      <w:pStyle w:val="tit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E3267A"/>
    <w:multiLevelType w:val="multilevel"/>
    <w:tmpl w:val="038C78C6"/>
    <w:lvl w:ilvl="0">
      <w:start w:val="1"/>
      <w:numFmt w:val="decimal"/>
      <w:pStyle w:val="Heading1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 –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–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pStyle w:val="Heading4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–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1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52F5B78"/>
    <w:multiLevelType w:val="multilevel"/>
    <w:tmpl w:val="038C78C6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 –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137673">
    <w:abstractNumId w:val="0"/>
  </w:num>
  <w:num w:numId="2" w16cid:durableId="536551080">
    <w:abstractNumId w:val="1"/>
  </w:num>
  <w:num w:numId="3" w16cid:durableId="1905066839">
    <w:abstractNumId w:val="2"/>
  </w:num>
  <w:num w:numId="4" w16cid:durableId="803625063">
    <w:abstractNumId w:val="2"/>
  </w:num>
  <w:num w:numId="5" w16cid:durableId="102493778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1"/>
  <w:drawingGridVerticalSpacing w:val="1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B"/>
    <w:rsid w:val="00015C64"/>
    <w:rsid w:val="000266D9"/>
    <w:rsid w:val="000301E0"/>
    <w:rsid w:val="00036F54"/>
    <w:rsid w:val="000412BB"/>
    <w:rsid w:val="0005194D"/>
    <w:rsid w:val="00066333"/>
    <w:rsid w:val="000A0B47"/>
    <w:rsid w:val="000B01B6"/>
    <w:rsid w:val="000B21A9"/>
    <w:rsid w:val="000B5155"/>
    <w:rsid w:val="000C4F77"/>
    <w:rsid w:val="000C6E3D"/>
    <w:rsid w:val="000D57D7"/>
    <w:rsid w:val="000F082E"/>
    <w:rsid w:val="00101233"/>
    <w:rsid w:val="001015EA"/>
    <w:rsid w:val="00101FC6"/>
    <w:rsid w:val="0011282E"/>
    <w:rsid w:val="00115BAE"/>
    <w:rsid w:val="00127F01"/>
    <w:rsid w:val="00132BBA"/>
    <w:rsid w:val="00133850"/>
    <w:rsid w:val="001357DE"/>
    <w:rsid w:val="001373FB"/>
    <w:rsid w:val="00140686"/>
    <w:rsid w:val="00140F2A"/>
    <w:rsid w:val="00141BE8"/>
    <w:rsid w:val="0015651C"/>
    <w:rsid w:val="0016704F"/>
    <w:rsid w:val="0017564A"/>
    <w:rsid w:val="0019322F"/>
    <w:rsid w:val="0019571C"/>
    <w:rsid w:val="001A13D0"/>
    <w:rsid w:val="001B0480"/>
    <w:rsid w:val="001B7700"/>
    <w:rsid w:val="001C1F15"/>
    <w:rsid w:val="001C7D43"/>
    <w:rsid w:val="001D13FF"/>
    <w:rsid w:val="001D1BB5"/>
    <w:rsid w:val="001E70F3"/>
    <w:rsid w:val="001F0340"/>
    <w:rsid w:val="001F4F97"/>
    <w:rsid w:val="00206D55"/>
    <w:rsid w:val="0026338C"/>
    <w:rsid w:val="0027455B"/>
    <w:rsid w:val="00275EB9"/>
    <w:rsid w:val="00280A63"/>
    <w:rsid w:val="002874D8"/>
    <w:rsid w:val="00296136"/>
    <w:rsid w:val="00296CB9"/>
    <w:rsid w:val="002F4B48"/>
    <w:rsid w:val="003222A0"/>
    <w:rsid w:val="00323545"/>
    <w:rsid w:val="003305D0"/>
    <w:rsid w:val="003313DC"/>
    <w:rsid w:val="00334B2C"/>
    <w:rsid w:val="003371B5"/>
    <w:rsid w:val="00341E97"/>
    <w:rsid w:val="00351EA8"/>
    <w:rsid w:val="00356B4C"/>
    <w:rsid w:val="00360C01"/>
    <w:rsid w:val="00373E7D"/>
    <w:rsid w:val="0037447B"/>
    <w:rsid w:val="00374E76"/>
    <w:rsid w:val="003A3A1D"/>
    <w:rsid w:val="003A71A1"/>
    <w:rsid w:val="003B6029"/>
    <w:rsid w:val="003E285D"/>
    <w:rsid w:val="003F0F97"/>
    <w:rsid w:val="003F7248"/>
    <w:rsid w:val="0040116C"/>
    <w:rsid w:val="00402F47"/>
    <w:rsid w:val="0040552A"/>
    <w:rsid w:val="00412BAD"/>
    <w:rsid w:val="0043092F"/>
    <w:rsid w:val="0043585C"/>
    <w:rsid w:val="00446C11"/>
    <w:rsid w:val="004842A4"/>
    <w:rsid w:val="0048771D"/>
    <w:rsid w:val="004A6662"/>
    <w:rsid w:val="004B4946"/>
    <w:rsid w:val="004F591C"/>
    <w:rsid w:val="004F7803"/>
    <w:rsid w:val="00514CE9"/>
    <w:rsid w:val="0052617F"/>
    <w:rsid w:val="0053012B"/>
    <w:rsid w:val="005331B3"/>
    <w:rsid w:val="0053497B"/>
    <w:rsid w:val="0053544D"/>
    <w:rsid w:val="00546820"/>
    <w:rsid w:val="005563AF"/>
    <w:rsid w:val="005671DD"/>
    <w:rsid w:val="0058649E"/>
    <w:rsid w:val="00587D9E"/>
    <w:rsid w:val="00590BDE"/>
    <w:rsid w:val="005A1B3D"/>
    <w:rsid w:val="005A738B"/>
    <w:rsid w:val="005B386F"/>
    <w:rsid w:val="005C03AD"/>
    <w:rsid w:val="005C64A9"/>
    <w:rsid w:val="005D252F"/>
    <w:rsid w:val="005D6B52"/>
    <w:rsid w:val="00600992"/>
    <w:rsid w:val="006074DD"/>
    <w:rsid w:val="006211CB"/>
    <w:rsid w:val="0062710D"/>
    <w:rsid w:val="006276D9"/>
    <w:rsid w:val="00630A97"/>
    <w:rsid w:val="00634F7C"/>
    <w:rsid w:val="00645D92"/>
    <w:rsid w:val="00647536"/>
    <w:rsid w:val="006612A3"/>
    <w:rsid w:val="0066320D"/>
    <w:rsid w:val="00672C77"/>
    <w:rsid w:val="0068017F"/>
    <w:rsid w:val="00683ADF"/>
    <w:rsid w:val="006867E7"/>
    <w:rsid w:val="006A3EAF"/>
    <w:rsid w:val="006A4E8B"/>
    <w:rsid w:val="006B11F2"/>
    <w:rsid w:val="006C0533"/>
    <w:rsid w:val="006C5D69"/>
    <w:rsid w:val="006D0F16"/>
    <w:rsid w:val="006D2C66"/>
    <w:rsid w:val="006D2D44"/>
    <w:rsid w:val="006E3659"/>
    <w:rsid w:val="006E6B65"/>
    <w:rsid w:val="006F56E1"/>
    <w:rsid w:val="007062BF"/>
    <w:rsid w:val="00707383"/>
    <w:rsid w:val="00710139"/>
    <w:rsid w:val="00715851"/>
    <w:rsid w:val="00716883"/>
    <w:rsid w:val="00734BEC"/>
    <w:rsid w:val="00734BFA"/>
    <w:rsid w:val="0074755C"/>
    <w:rsid w:val="00761B56"/>
    <w:rsid w:val="0076413B"/>
    <w:rsid w:val="00764D87"/>
    <w:rsid w:val="007659CF"/>
    <w:rsid w:val="00783D7C"/>
    <w:rsid w:val="0079140E"/>
    <w:rsid w:val="00797350"/>
    <w:rsid w:val="007A3D72"/>
    <w:rsid w:val="007B36FB"/>
    <w:rsid w:val="007C2D9D"/>
    <w:rsid w:val="007C5D4B"/>
    <w:rsid w:val="007D73D9"/>
    <w:rsid w:val="007F36B3"/>
    <w:rsid w:val="007F5F7E"/>
    <w:rsid w:val="007F74FA"/>
    <w:rsid w:val="00811A90"/>
    <w:rsid w:val="00816D19"/>
    <w:rsid w:val="00821115"/>
    <w:rsid w:val="008237C4"/>
    <w:rsid w:val="008255F1"/>
    <w:rsid w:val="00837F49"/>
    <w:rsid w:val="00847895"/>
    <w:rsid w:val="00855B8D"/>
    <w:rsid w:val="00880C1D"/>
    <w:rsid w:val="00881B77"/>
    <w:rsid w:val="0089457F"/>
    <w:rsid w:val="008A037D"/>
    <w:rsid w:val="008A3EA5"/>
    <w:rsid w:val="008B6DD5"/>
    <w:rsid w:val="008C6DDB"/>
    <w:rsid w:val="008D6EEE"/>
    <w:rsid w:val="008E5C35"/>
    <w:rsid w:val="008F6416"/>
    <w:rsid w:val="00903592"/>
    <w:rsid w:val="009115FE"/>
    <w:rsid w:val="0093404E"/>
    <w:rsid w:val="00935317"/>
    <w:rsid w:val="00941BB5"/>
    <w:rsid w:val="0094308B"/>
    <w:rsid w:val="0094685B"/>
    <w:rsid w:val="00960028"/>
    <w:rsid w:val="00963322"/>
    <w:rsid w:val="009826E4"/>
    <w:rsid w:val="009935CE"/>
    <w:rsid w:val="009A7921"/>
    <w:rsid w:val="009B62DD"/>
    <w:rsid w:val="009B6ECA"/>
    <w:rsid w:val="009D385F"/>
    <w:rsid w:val="009E3441"/>
    <w:rsid w:val="009E6662"/>
    <w:rsid w:val="00A03A93"/>
    <w:rsid w:val="00A13DF2"/>
    <w:rsid w:val="00A16FC5"/>
    <w:rsid w:val="00A2228A"/>
    <w:rsid w:val="00A26EBB"/>
    <w:rsid w:val="00A46CE6"/>
    <w:rsid w:val="00A50338"/>
    <w:rsid w:val="00A61D3C"/>
    <w:rsid w:val="00A65370"/>
    <w:rsid w:val="00AB2EDD"/>
    <w:rsid w:val="00AB4562"/>
    <w:rsid w:val="00AD6D2C"/>
    <w:rsid w:val="00AE0E84"/>
    <w:rsid w:val="00AE4AE3"/>
    <w:rsid w:val="00B028F9"/>
    <w:rsid w:val="00B077CC"/>
    <w:rsid w:val="00B10514"/>
    <w:rsid w:val="00B23BC0"/>
    <w:rsid w:val="00B67778"/>
    <w:rsid w:val="00B86B99"/>
    <w:rsid w:val="00B905CC"/>
    <w:rsid w:val="00B9660D"/>
    <w:rsid w:val="00BD5AA0"/>
    <w:rsid w:val="00BE37C5"/>
    <w:rsid w:val="00C045C8"/>
    <w:rsid w:val="00C04F64"/>
    <w:rsid w:val="00C058DB"/>
    <w:rsid w:val="00C21C26"/>
    <w:rsid w:val="00C4578C"/>
    <w:rsid w:val="00C54676"/>
    <w:rsid w:val="00C55253"/>
    <w:rsid w:val="00C662E4"/>
    <w:rsid w:val="00CA61C0"/>
    <w:rsid w:val="00CB50BA"/>
    <w:rsid w:val="00CC624F"/>
    <w:rsid w:val="00CD3CD1"/>
    <w:rsid w:val="00CD4031"/>
    <w:rsid w:val="00CE6E93"/>
    <w:rsid w:val="00D17966"/>
    <w:rsid w:val="00D17DC9"/>
    <w:rsid w:val="00D25D70"/>
    <w:rsid w:val="00D407C2"/>
    <w:rsid w:val="00D41804"/>
    <w:rsid w:val="00D4277F"/>
    <w:rsid w:val="00D63E3E"/>
    <w:rsid w:val="00D64C51"/>
    <w:rsid w:val="00D838E7"/>
    <w:rsid w:val="00D87317"/>
    <w:rsid w:val="00D91483"/>
    <w:rsid w:val="00D95F0A"/>
    <w:rsid w:val="00DA0940"/>
    <w:rsid w:val="00DA0E18"/>
    <w:rsid w:val="00DB2C6A"/>
    <w:rsid w:val="00DD05FA"/>
    <w:rsid w:val="00DF2A37"/>
    <w:rsid w:val="00E10D9F"/>
    <w:rsid w:val="00E13896"/>
    <w:rsid w:val="00E176E2"/>
    <w:rsid w:val="00E27C99"/>
    <w:rsid w:val="00E3216F"/>
    <w:rsid w:val="00E37DBC"/>
    <w:rsid w:val="00E40AFF"/>
    <w:rsid w:val="00E455E2"/>
    <w:rsid w:val="00E52365"/>
    <w:rsid w:val="00E53F69"/>
    <w:rsid w:val="00E65A64"/>
    <w:rsid w:val="00E715A6"/>
    <w:rsid w:val="00E77CDA"/>
    <w:rsid w:val="00E82D50"/>
    <w:rsid w:val="00E83BAA"/>
    <w:rsid w:val="00EA1F53"/>
    <w:rsid w:val="00EA5BE4"/>
    <w:rsid w:val="00EC43F7"/>
    <w:rsid w:val="00ED390B"/>
    <w:rsid w:val="00EE4979"/>
    <w:rsid w:val="00F006FA"/>
    <w:rsid w:val="00F16E98"/>
    <w:rsid w:val="00F248C8"/>
    <w:rsid w:val="00F307F9"/>
    <w:rsid w:val="00F355D9"/>
    <w:rsid w:val="00F361C8"/>
    <w:rsid w:val="00F4348B"/>
    <w:rsid w:val="00F752BE"/>
    <w:rsid w:val="00F80032"/>
    <w:rsid w:val="00F816E0"/>
    <w:rsid w:val="00F87EE1"/>
    <w:rsid w:val="00F97ACA"/>
    <w:rsid w:val="00FA0A25"/>
    <w:rsid w:val="00FB334D"/>
    <w:rsid w:val="00FB3504"/>
    <w:rsid w:val="00FC163F"/>
    <w:rsid w:val="00FC27C1"/>
    <w:rsid w:val="00FD4D55"/>
    <w:rsid w:val="00FD766C"/>
    <w:rsid w:val="00FE79AB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0178C5F6"/>
  <w15:chartTrackingRefBased/>
  <w15:docId w15:val="{93E9D609-BC2E-4C9D-A885-1664689C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340"/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rsid w:val="00140686"/>
    <w:pPr>
      <w:keepNext/>
      <w:numPr>
        <w:numId w:val="3"/>
      </w:numPr>
      <w:spacing w:before="200" w:after="200"/>
      <w:ind w:left="322" w:hanging="322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6867E7"/>
    <w:pPr>
      <w:keepNext/>
      <w:numPr>
        <w:ilvl w:val="1"/>
        <w:numId w:val="3"/>
      </w:numPr>
      <w:ind w:left="576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447B"/>
    <w:pPr>
      <w:keepNext/>
      <w:numPr>
        <w:ilvl w:val="2"/>
        <w:numId w:val="3"/>
      </w:numPr>
      <w:spacing w:after="200"/>
      <w:ind w:left="720"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7447B"/>
    <w:pPr>
      <w:keepNext/>
      <w:numPr>
        <w:ilvl w:val="3"/>
        <w:numId w:val="3"/>
      </w:numPr>
      <w:tabs>
        <w:tab w:val="clear" w:pos="864"/>
        <w:tab w:val="left" w:pos="760"/>
      </w:tabs>
      <w:spacing w:after="200"/>
      <w:ind w:left="862" w:hanging="862"/>
      <w:jc w:val="left"/>
      <w:outlineLvl w:val="3"/>
    </w:pPr>
    <w:rPr>
      <w:i/>
      <w:lang w:val="en-GB"/>
    </w:rPr>
  </w:style>
  <w:style w:type="paragraph" w:styleId="Heading5">
    <w:name w:val="heading 5"/>
    <w:basedOn w:val="Normal"/>
    <w:next w:val="Normal"/>
    <w:qFormat/>
    <w:rsid w:val="006867E7"/>
    <w:pPr>
      <w:keepNext/>
      <w:numPr>
        <w:ilvl w:val="4"/>
        <w:numId w:val="3"/>
      </w:numPr>
      <w:tabs>
        <w:tab w:val="clear" w:pos="964"/>
      </w:tabs>
      <w:outlineLvl w:val="4"/>
    </w:pPr>
    <w:rPr>
      <w:i/>
      <w:lang w:val="en-GB"/>
    </w:rPr>
  </w:style>
  <w:style w:type="paragraph" w:styleId="Heading6">
    <w:name w:val="heading 6"/>
    <w:basedOn w:val="Normal"/>
    <w:next w:val="Normal"/>
    <w:qFormat/>
    <w:rsid w:val="006867E7"/>
    <w:pPr>
      <w:keepNext/>
      <w:numPr>
        <w:ilvl w:val="5"/>
        <w:numId w:val="3"/>
      </w:numPr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rsid w:val="006867E7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867E7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sz w:val="28"/>
      <w:lang w:eastAsia="pt-PT"/>
    </w:rPr>
  </w:style>
  <w:style w:type="paragraph" w:styleId="BodyTextIndent">
    <w:name w:val="Body Text Indent"/>
    <w:basedOn w:val="Normal"/>
    <w:pPr>
      <w:ind w:firstLine="454"/>
    </w:pPr>
    <w:rPr>
      <w:sz w:val="24"/>
      <w:lang w:val="en-GB"/>
    </w:rPr>
  </w:style>
  <w:style w:type="paragraph" w:styleId="BodyText2">
    <w:name w:val="Body Text 2"/>
    <w:basedOn w:val="Normal"/>
    <w:pPr>
      <w:jc w:val="center"/>
    </w:pPr>
    <w:rPr>
      <w:sz w:val="24"/>
      <w:lang w:val="en-GB"/>
    </w:rPr>
  </w:style>
  <w:style w:type="paragraph" w:customStyle="1" w:styleId="Bibliografia">
    <w:name w:val="Bibliografia"/>
    <w:basedOn w:val="Normal"/>
    <w:autoRedefine/>
    <w:rsid w:val="00AE4AE3"/>
    <w:pPr>
      <w:spacing w:before="120"/>
      <w:ind w:left="425" w:hanging="425"/>
    </w:pPr>
    <w:rPr>
      <w:lang w:val="en-GB"/>
    </w:rPr>
  </w:style>
  <w:style w:type="paragraph" w:styleId="BodyText3">
    <w:name w:val="Body Text 3"/>
    <w:basedOn w:val="Normal"/>
    <w:rPr>
      <w:sz w:val="24"/>
      <w:lang w:val="en-GB"/>
    </w:rPr>
  </w:style>
  <w:style w:type="paragraph" w:styleId="BodyTextIndent2">
    <w:name w:val="Body Text Indent 2"/>
    <w:basedOn w:val="Normal"/>
    <w:pPr>
      <w:ind w:left="567" w:hanging="567"/>
    </w:pPr>
    <w:rPr>
      <w:sz w:val="24"/>
      <w:lang w:val="en-GB"/>
    </w:rPr>
  </w:style>
  <w:style w:type="paragraph" w:styleId="BodyTextIndent3">
    <w:name w:val="Body Text Indent 3"/>
    <w:aliases w:val="Texto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en-GB"/>
    </w:rPr>
  </w:style>
  <w:style w:type="paragraph" w:customStyle="1" w:styleId="Equao">
    <w:name w:val="Equação"/>
    <w:basedOn w:val="Normal"/>
    <w:pPr>
      <w:tabs>
        <w:tab w:val="center" w:pos="3827"/>
        <w:tab w:val="right" w:pos="7655"/>
      </w:tabs>
    </w:pPr>
    <w:rPr>
      <w:noProof/>
    </w:rPr>
  </w:style>
  <w:style w:type="paragraph" w:customStyle="1" w:styleId="Estilo1">
    <w:name w:val="Estilo1"/>
    <w:basedOn w:val="BodyTextIndent3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customStyle="1" w:styleId="ResumoPO">
    <w:name w:val="Resumo PO"/>
    <w:basedOn w:val="Normal"/>
    <w:pPr>
      <w:spacing w:before="480"/>
      <w:ind w:firstLine="0"/>
    </w:pPr>
    <w:rPr>
      <w:sz w:val="18"/>
    </w:rPr>
  </w:style>
  <w:style w:type="paragraph" w:customStyle="1" w:styleId="ResumoUK">
    <w:name w:val="Resumo UK"/>
    <w:basedOn w:val="ResumoPO"/>
    <w:pPr>
      <w:spacing w:before="240" w:after="240"/>
    </w:pPr>
    <w:rPr>
      <w:lang w:val="en-GB"/>
    </w:rPr>
  </w:style>
  <w:style w:type="paragraph" w:customStyle="1" w:styleId="texto">
    <w:name w:val="texto"/>
    <w:basedOn w:val="BodyTextIndent3"/>
    <w:rPr>
      <w:sz w:val="20"/>
    </w:rPr>
  </w:style>
  <w:style w:type="paragraph" w:customStyle="1" w:styleId="Tit1">
    <w:name w:val="Tit 1"/>
    <w:basedOn w:val="Normal"/>
    <w:pPr>
      <w:numPr>
        <w:numId w:val="1"/>
      </w:numPr>
      <w:spacing w:before="200" w:after="200"/>
    </w:pPr>
    <w:rPr>
      <w:caps/>
    </w:rPr>
  </w:style>
  <w:style w:type="paragraph" w:customStyle="1" w:styleId="TituloPO">
    <w:name w:val="Titulo PO"/>
    <w:basedOn w:val="Encosta"/>
    <w:pPr>
      <w:spacing w:after="240"/>
      <w:jc w:val="left"/>
    </w:pPr>
    <w:rPr>
      <w:b/>
      <w:sz w:val="32"/>
    </w:rPr>
  </w:style>
  <w:style w:type="paragraph" w:customStyle="1" w:styleId="Encosta">
    <w:name w:val="Encosta"/>
    <w:basedOn w:val="Normal"/>
    <w:pPr>
      <w:ind w:firstLine="0"/>
    </w:pPr>
  </w:style>
  <w:style w:type="paragraph" w:customStyle="1" w:styleId="TituloUK">
    <w:name w:val="Titulo UK"/>
    <w:basedOn w:val="Normal"/>
    <w:pPr>
      <w:spacing w:after="240" w:line="240" w:lineRule="exact"/>
      <w:ind w:firstLine="0"/>
    </w:pPr>
    <w:rPr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tit2">
    <w:name w:val="tit2"/>
    <w:basedOn w:val="Normal"/>
    <w:pPr>
      <w:numPr>
        <w:numId w:val="2"/>
      </w:numPr>
      <w:ind w:left="0" w:firstLine="0"/>
      <w:jc w:val="left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sid w:val="006276D9"/>
    <w:pPr>
      <w:ind w:firstLine="0"/>
      <w:jc w:val="left"/>
    </w:pPr>
    <w:rPr>
      <w:sz w:val="16"/>
    </w:rPr>
  </w:style>
  <w:style w:type="paragraph" w:customStyle="1" w:styleId="heading10">
    <w:name w:val="heading 10"/>
    <w:basedOn w:val="Heading9"/>
    <w:pPr>
      <w:numPr>
        <w:ilvl w:val="8"/>
        <w:numId w:val="3"/>
      </w:numPr>
      <w:spacing w:before="480" w:after="240"/>
      <w:outlineLvl w:val="9"/>
    </w:pPr>
  </w:style>
  <w:style w:type="paragraph" w:styleId="NormalIndent">
    <w:name w:val="Normal Indent"/>
    <w:basedOn w:val="Normal"/>
    <w:next w:val="Normal"/>
    <w:pPr>
      <w:ind w:left="720"/>
    </w:pPr>
  </w:style>
  <w:style w:type="paragraph" w:styleId="TOC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</w:style>
  <w:style w:type="paragraph" w:customStyle="1" w:styleId="Autores">
    <w:name w:val="Autores"/>
    <w:basedOn w:val="Normal"/>
    <w:pPr>
      <w:ind w:firstLine="0"/>
      <w:jc w:val="left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0C1D"/>
    <w:rPr>
      <w:color w:val="808080"/>
    </w:rPr>
  </w:style>
  <w:style w:type="paragraph" w:styleId="BalloonText">
    <w:name w:val="Balloon Text"/>
    <w:basedOn w:val="Normal"/>
    <w:link w:val="BalloonTextChar"/>
    <w:rsid w:val="009D3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85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E53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71688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quaoGeot">
    <w:name w:val="Equação_Geot"/>
    <w:basedOn w:val="Caption"/>
    <w:link w:val="EquaoGeotChar"/>
    <w:qFormat/>
    <w:rsid w:val="00716883"/>
    <w:pPr>
      <w:spacing w:before="200"/>
    </w:pPr>
    <w:rPr>
      <w:rFonts w:ascii="Cambria Math" w:hAnsi="Cambria Math"/>
      <w:color w:val="auto"/>
      <w:sz w:val="20"/>
      <w:szCs w:val="20"/>
    </w:rPr>
  </w:style>
  <w:style w:type="character" w:customStyle="1" w:styleId="CaptionChar">
    <w:name w:val="Caption Char"/>
    <w:basedOn w:val="DefaultParagraphFont"/>
    <w:link w:val="Caption"/>
    <w:rsid w:val="00716883"/>
    <w:rPr>
      <w:i/>
      <w:iCs/>
      <w:color w:val="44546A" w:themeColor="text2"/>
      <w:sz w:val="18"/>
      <w:szCs w:val="18"/>
      <w:lang w:eastAsia="en-US"/>
    </w:rPr>
  </w:style>
  <w:style w:type="character" w:customStyle="1" w:styleId="EquaoGeotChar">
    <w:name w:val="Equação_Geot Char"/>
    <w:basedOn w:val="CaptionChar"/>
    <w:link w:val="EquaoGeot"/>
    <w:rsid w:val="00716883"/>
    <w:rPr>
      <w:rFonts w:ascii="Cambria Math" w:hAnsi="Cambria Math"/>
      <w:i/>
      <w:iCs/>
      <w:color w:val="44546A" w:themeColor="text2"/>
      <w:sz w:val="18"/>
      <w:szCs w:val="18"/>
      <w:lang w:eastAsia="en-US"/>
    </w:rPr>
  </w:style>
  <w:style w:type="paragraph" w:customStyle="1" w:styleId="Footer1">
    <w:name w:val="Footer1"/>
    <w:rsid w:val="008A0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ind w:firstLine="340"/>
      <w:jc w:val="both"/>
    </w:pPr>
    <w:rPr>
      <w:rFonts w:eastAsia="Arial Unicode MS" w:cs="Arial Unicode MS"/>
      <w:color w:val="000000"/>
      <w:u w:color="000000"/>
      <w:bdr w:val="nil"/>
      <w:lang w:val="en-US" w:eastAsia="pt-BR"/>
    </w:rPr>
  </w:style>
  <w:style w:type="paragraph" w:customStyle="1" w:styleId="FootnoteText1">
    <w:name w:val="Footnote Text1"/>
    <w:rsid w:val="008A037D"/>
    <w:pPr>
      <w:pBdr>
        <w:top w:val="nil"/>
        <w:left w:val="nil"/>
        <w:bottom w:val="nil"/>
        <w:right w:val="nil"/>
        <w:between w:val="nil"/>
        <w:bar w:val="nil"/>
      </w:pBdr>
      <w:ind w:firstLine="340"/>
      <w:jc w:val="both"/>
    </w:pPr>
    <w:rPr>
      <w:color w:val="000000"/>
      <w:sz w:val="16"/>
      <w:szCs w:val="16"/>
      <w:u w:color="000000"/>
      <w:bdr w:val="nil"/>
      <w:lang w:eastAsia="pt-BR"/>
    </w:rPr>
  </w:style>
  <w:style w:type="character" w:customStyle="1" w:styleId="Hyperlink0">
    <w:name w:val="Hyperlink.0"/>
    <w:basedOn w:val="Hyperlink"/>
    <w:rsid w:val="008A037D"/>
    <w:rPr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7B3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67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61/(ASCE)0733-9410(1994)120:1(199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S0267-7261(02)00209-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bernardo\Revista%20Geotecnia\Ficheiros%20Prof%20Matos%20Fernandes\rev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C4AEF-DC23-47AA-BA67-17B68CE1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revista.dot</Template>
  <TotalTime>196</TotalTime>
  <Pages>4</Pages>
  <Words>1069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revista-spg</vt:lpstr>
      <vt:lpstr>revista-spg</vt:lpstr>
    </vt:vector>
  </TitlesOfParts>
  <Company/>
  <LinksUpToDate>false</LinksUpToDate>
  <CharactersWithSpaces>6832</CharactersWithSpaces>
  <SharedDoc>false</SharedDoc>
  <HLinks>
    <vt:vector size="12" baseType="variant"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revista-spg</dc:title>
  <dc:subject/>
  <dc:creator>jbernardo</dc:creator>
  <cp:keywords/>
  <cp:lastModifiedBy>Paulo Pinto</cp:lastModifiedBy>
  <cp:revision>51</cp:revision>
  <cp:lastPrinted>2018-03-08T12:48:00Z</cp:lastPrinted>
  <dcterms:created xsi:type="dcterms:W3CDTF">2019-02-08T09:00:00Z</dcterms:created>
  <dcterms:modified xsi:type="dcterms:W3CDTF">2023-03-24T10:20:00Z</dcterms:modified>
</cp:coreProperties>
</file>